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6FF2">
      <w:pPr>
        <w:pStyle w:val="2"/>
        <w:spacing w:before="233" w:line="215" w:lineRule="auto"/>
        <w:ind w:left="103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spacing w:val="-26"/>
          <w:highlight w:val="yellow"/>
          <w:lang w:eastAsia="zh-CN"/>
        </w:rPr>
        <w:t>合同编号</w:t>
      </w:r>
      <w:r>
        <w:rPr>
          <w:spacing w:val="-26"/>
        </w:rPr>
        <w:t>：|</w:t>
      </w:r>
      <w:r>
        <w:rPr>
          <w:rFonts w:hint="eastAsia"/>
          <w:b/>
          <w:spacing w:val="-26"/>
          <w:highlight w:val="yellow"/>
          <w:lang w:eastAsia="zh-CN"/>
        </w:rPr>
        <w:t>JDQ20101</w:t>
      </w:r>
    </w:p>
    <w:p w14:paraId="6561A5C0">
      <w:pPr>
        <w:spacing w:line="270" w:lineRule="auto"/>
        <w:rPr>
          <w:rFonts w:ascii="Arial"/>
          <w:sz w:val="21"/>
        </w:rPr>
      </w:pPr>
    </w:p>
    <w:p w14:paraId="215EEBC3">
      <w:pPr>
        <w:spacing w:line="270" w:lineRule="auto"/>
        <w:rPr>
          <w:rFonts w:ascii="Arial"/>
          <w:sz w:val="21"/>
        </w:rPr>
      </w:pPr>
    </w:p>
    <w:p w14:paraId="0C1B0DE0">
      <w:pPr>
        <w:spacing w:line="270" w:lineRule="auto"/>
        <w:rPr>
          <w:rFonts w:ascii="Arial"/>
          <w:sz w:val="21"/>
        </w:rPr>
      </w:pPr>
    </w:p>
    <w:p w14:paraId="3429559D">
      <w:pPr>
        <w:spacing w:line="271" w:lineRule="auto"/>
        <w:rPr>
          <w:rFonts w:ascii="Arial"/>
          <w:sz w:val="21"/>
        </w:rPr>
      </w:pPr>
    </w:p>
    <w:p w14:paraId="24386108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</w:t>
      </w:r>
      <w:r>
        <w:rPr>
          <w:spacing w:val="31"/>
          <w:sz w:val="54"/>
          <w:szCs w:val="54"/>
        </w:rPr>
        <w:t>(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委托</w:t>
      </w:r>
      <w:r>
        <w:rPr>
          <w:spacing w:val="31"/>
          <w:sz w:val="54"/>
          <w:szCs w:val="54"/>
        </w:rPr>
        <w:t>)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合同</w:t>
      </w:r>
    </w:p>
    <w:p w14:paraId="24F32C37">
      <w:pPr>
        <w:spacing w:line="284" w:lineRule="auto"/>
        <w:rPr>
          <w:rFonts w:ascii="Arial"/>
          <w:sz w:val="21"/>
        </w:rPr>
      </w:pPr>
    </w:p>
    <w:p w14:paraId="3B901050">
      <w:pPr>
        <w:spacing w:line="284" w:lineRule="auto"/>
        <w:rPr>
          <w:rFonts w:ascii="Arial"/>
          <w:sz w:val="21"/>
        </w:rPr>
      </w:pPr>
    </w:p>
    <w:p w14:paraId="577C4E09">
      <w:pPr>
        <w:spacing w:line="284" w:lineRule="auto"/>
        <w:rPr>
          <w:rFonts w:ascii="Arial"/>
          <w:sz w:val="21"/>
        </w:rPr>
      </w:pPr>
    </w:p>
    <w:p w14:paraId="7F66D387">
      <w:pPr>
        <w:spacing w:line="284" w:lineRule="auto"/>
        <w:rPr>
          <w:rFonts w:ascii="Arial"/>
          <w:sz w:val="21"/>
        </w:rPr>
      </w:pPr>
    </w:p>
    <w:p w14:paraId="636FF208">
      <w:pPr>
        <w:spacing w:line="284" w:lineRule="auto"/>
        <w:rPr>
          <w:rFonts w:ascii="Arial"/>
          <w:sz w:val="21"/>
        </w:rPr>
      </w:pPr>
    </w:p>
    <w:p w14:paraId="24B6FA0B">
      <w:pPr>
        <w:pStyle w:val="2"/>
        <w:spacing w:before="100" w:line="227" w:lineRule="auto"/>
        <w:ind w:left="953"/>
      </w:pPr>
      <w:r>
        <w:rPr>
          <w:rFonts w:hint="eastAsia"/>
          <w:b/>
          <w:spacing w:val="26"/>
          <w:position w:val="3"/>
          <w:highlight w:val="yellow"/>
          <w:lang w:eastAsia="zh-CN"/>
        </w:rPr>
        <w:t>项目名称</w:t>
      </w:r>
      <w:r>
        <w:rPr>
          <w:spacing w:val="26"/>
          <w:position w:val="3"/>
        </w:rPr>
        <w:t>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流无刷电机驱动及</w:t>
      </w:r>
      <w:r>
        <w:rPr>
          <w:b/>
          <w:bCs/>
          <w:spacing w:val="26"/>
          <w:u w:val="single" w:color="auto"/>
        </w:rPr>
        <w:t>锂电协同</w:t>
      </w:r>
      <w:r>
        <w:rPr>
          <w:b/>
          <w:bCs/>
          <w:spacing w:val="25"/>
          <w:u w:val="single" w:color="auto"/>
        </w:rPr>
        <w:t>管理</w:t>
      </w:r>
      <w:r>
        <w:rPr>
          <w:rFonts w:hint="eastAsia"/>
          <w:b/>
          <w:bCs/>
          <w:spacing w:val="25"/>
          <w:highlight w:val="yellow"/>
          <w:u w:val="single" w:color="auto"/>
          <w:lang w:eastAsia="zh-CN"/>
        </w:rPr>
        <w:t>系统</w:t>
      </w:r>
      <w:r>
        <w:rPr>
          <w:u w:val="single" w:color="auto"/>
        </w:rPr>
        <w:t xml:space="preserve">  </w:t>
      </w:r>
    </w:p>
    <w:p w14:paraId="340D2C99">
      <w:pPr>
        <w:spacing w:line="323" w:lineRule="auto"/>
        <w:rPr>
          <w:rFonts w:ascii="Arial"/>
          <w:sz w:val="21"/>
        </w:rPr>
      </w:pPr>
    </w:p>
    <w:p w14:paraId="285380E4">
      <w:pPr>
        <w:spacing w:line="323" w:lineRule="auto"/>
        <w:rPr>
          <w:rFonts w:ascii="Arial"/>
          <w:sz w:val="21"/>
        </w:rPr>
      </w:pPr>
    </w:p>
    <w:p w14:paraId="7C8E668E">
      <w:pPr>
        <w:pStyle w:val="2"/>
        <w:spacing w:before="102" w:line="228" w:lineRule="auto"/>
        <w:ind w:left="953"/>
      </w:pPr>
      <w:r>
        <w:rPr>
          <w:rFonts w:hint="eastAsia"/>
          <w:b/>
          <w:spacing w:val="38"/>
          <w:position w:val="2"/>
          <w:highlight w:val="yellow"/>
          <w:lang w:eastAsia="zh-CN"/>
        </w:rPr>
        <w:t>委托方</w:t>
      </w:r>
      <w:r>
        <w:rPr>
          <w:spacing w:val="38"/>
          <w:position w:val="2"/>
        </w:rPr>
        <w:t>(</w:t>
      </w:r>
      <w:r>
        <w:rPr>
          <w:rFonts w:hint="eastAsia"/>
          <w:b/>
          <w:spacing w:val="38"/>
          <w:position w:val="2"/>
          <w:highlight w:val="yellow"/>
          <w:lang w:eastAsia="zh-CN"/>
        </w:rPr>
        <w:t>甲方</w:t>
      </w:r>
      <w:r>
        <w:rPr>
          <w:spacing w:val="38"/>
          <w:position w:val="2"/>
        </w:rPr>
        <w:t>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浙江亿力机电股份有限公司</w:t>
      </w:r>
      <w:r>
        <w:rPr>
          <w:position w:val="-1"/>
          <w:u w:val="single" w:color="auto"/>
        </w:rPr>
        <w:t xml:space="preserve">      </w:t>
      </w:r>
    </w:p>
    <w:p w14:paraId="59FBE6C8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4C141">
      <w:pPr>
        <w:spacing w:line="341" w:lineRule="auto"/>
        <w:rPr>
          <w:rFonts w:ascii="Arial"/>
          <w:sz w:val="21"/>
        </w:rPr>
      </w:pPr>
    </w:p>
    <w:p w14:paraId="088ADDC7">
      <w:pPr>
        <w:pStyle w:val="2"/>
        <w:spacing w:before="101" w:line="222" w:lineRule="auto"/>
        <w:ind w:left="953"/>
      </w:pPr>
      <w:r>
        <w:rPr>
          <w:rFonts w:hint="eastAsia"/>
          <w:b/>
          <w:spacing w:val="13"/>
          <w:position w:val="1"/>
          <w:highlight w:val="yellow"/>
          <w:lang w:eastAsia="zh-CN"/>
        </w:rPr>
        <w:t>受托方</w:t>
      </w:r>
      <w:r>
        <w:rPr>
          <w:spacing w:val="13"/>
          <w:position w:val="1"/>
        </w:rPr>
        <w:t>(</w:t>
      </w:r>
      <w:r>
        <w:rPr>
          <w:rFonts w:hint="eastAsia"/>
          <w:b/>
          <w:spacing w:val="13"/>
          <w:position w:val="1"/>
          <w:highlight w:val="yellow"/>
          <w:lang w:eastAsia="zh-CN"/>
        </w:rPr>
        <w:t>乙方</w:t>
      </w:r>
      <w:r>
        <w:rPr>
          <w:spacing w:val="13"/>
          <w:position w:val="1"/>
        </w:rPr>
        <w:t xml:space="preserve">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6C5B4CDE">
      <w:pPr>
        <w:spacing w:line="242" w:lineRule="auto"/>
        <w:rPr>
          <w:rFonts w:ascii="Arial"/>
          <w:sz w:val="21"/>
        </w:rPr>
      </w:pPr>
    </w:p>
    <w:p w14:paraId="568052C0">
      <w:pPr>
        <w:spacing w:line="242" w:lineRule="auto"/>
        <w:rPr>
          <w:rFonts w:ascii="Arial"/>
          <w:sz w:val="21"/>
        </w:rPr>
      </w:pPr>
    </w:p>
    <w:p w14:paraId="0FE56CF0">
      <w:pPr>
        <w:spacing w:line="243" w:lineRule="auto"/>
        <w:rPr>
          <w:rFonts w:ascii="Arial"/>
          <w:sz w:val="21"/>
        </w:rPr>
      </w:pPr>
    </w:p>
    <w:p w14:paraId="4262C580">
      <w:pPr>
        <w:pStyle w:val="2"/>
        <w:spacing w:before="101" w:line="226" w:lineRule="auto"/>
        <w:ind w:left="957"/>
      </w:pPr>
      <w:r>
        <w:rPr>
          <w:rFonts w:hint="eastAsia"/>
          <w:b/>
          <w:bCs/>
          <w:spacing w:val="-19"/>
          <w:position w:val="2"/>
          <w:highlight w:val="yellow"/>
          <w:lang w:eastAsia="zh-CN"/>
        </w:rPr>
        <w:t>签订时间</w:t>
      </w:r>
      <w:r>
        <w:rPr>
          <w:b/>
          <w:bCs/>
          <w:spacing w:val="-19"/>
          <w:position w:val="2"/>
        </w:rPr>
        <w:t>：</w:t>
      </w:r>
      <w:r>
        <w:rPr>
          <w:spacing w:val="29"/>
          <w:u w:val="single" w:color="auto"/>
        </w:rPr>
        <w:t xml:space="preserve">    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0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24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年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6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月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spacing w:val="-19"/>
          <w:u w:val="single" w:color="auto"/>
        </w:rPr>
        <w:t>9</w:t>
      </w:r>
      <w:r>
        <w:rPr>
          <w:spacing w:val="53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日</w:t>
      </w:r>
      <w:r>
        <w:rPr>
          <w:u w:val="single" w:color="auto"/>
        </w:rPr>
        <w:t xml:space="preserve">            </w:t>
      </w:r>
    </w:p>
    <w:p w14:paraId="06A8E4D5">
      <w:pPr>
        <w:spacing w:line="259" w:lineRule="auto"/>
        <w:rPr>
          <w:rFonts w:ascii="Arial"/>
          <w:sz w:val="21"/>
        </w:rPr>
      </w:pPr>
    </w:p>
    <w:p w14:paraId="06E808E1">
      <w:pPr>
        <w:spacing w:line="259" w:lineRule="auto"/>
        <w:rPr>
          <w:rFonts w:ascii="Arial"/>
          <w:sz w:val="21"/>
        </w:rPr>
      </w:pPr>
    </w:p>
    <w:p w14:paraId="0C9CC731">
      <w:pPr>
        <w:spacing w:line="260" w:lineRule="auto"/>
        <w:rPr>
          <w:rFonts w:ascii="Arial"/>
          <w:sz w:val="21"/>
        </w:rPr>
      </w:pPr>
    </w:p>
    <w:p w14:paraId="4AB3549D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</w:t>
      </w:r>
      <w:r>
        <w:rPr>
          <w:b/>
          <w:bCs/>
          <w:spacing w:val="-9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6651CDBE">
      <w:pPr>
        <w:spacing w:line="256" w:lineRule="auto"/>
        <w:rPr>
          <w:rFonts w:ascii="Arial"/>
          <w:sz w:val="21"/>
        </w:rPr>
      </w:pPr>
    </w:p>
    <w:p w14:paraId="77FA6F9C">
      <w:pPr>
        <w:spacing w:line="257" w:lineRule="auto"/>
        <w:rPr>
          <w:rFonts w:ascii="Arial"/>
          <w:sz w:val="21"/>
        </w:rPr>
      </w:pPr>
    </w:p>
    <w:p w14:paraId="300208D3">
      <w:pPr>
        <w:spacing w:line="257" w:lineRule="auto"/>
        <w:rPr>
          <w:rFonts w:ascii="Arial"/>
          <w:sz w:val="21"/>
        </w:rPr>
      </w:pPr>
    </w:p>
    <w:p w14:paraId="75A11F5A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</w:t>
      </w:r>
      <w:r>
        <w:rPr>
          <w:b/>
          <w:bCs/>
          <w:spacing w:val="36"/>
        </w:rPr>
        <w:t>：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2021年11月20日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2022年</w:t>
      </w:r>
      <w:r>
        <w:rPr>
          <w:b/>
          <w:bCs/>
          <w:spacing w:val="36"/>
          <w:u w:val="single" w:color="auto"/>
        </w:rPr>
        <w:t>7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月20日</w:t>
      </w:r>
      <w:r>
        <w:rPr>
          <w:u w:val="single" w:color="auto"/>
        </w:rPr>
        <w:t xml:space="preserve">     </w:t>
      </w:r>
    </w:p>
    <w:p w14:paraId="23E797AB">
      <w:pPr>
        <w:spacing w:line="250" w:lineRule="auto"/>
        <w:rPr>
          <w:rFonts w:ascii="Arial"/>
          <w:sz w:val="21"/>
        </w:rPr>
      </w:pPr>
    </w:p>
    <w:p w14:paraId="08F67351">
      <w:pPr>
        <w:spacing w:line="250" w:lineRule="auto"/>
        <w:rPr>
          <w:rFonts w:ascii="Arial"/>
          <w:sz w:val="21"/>
        </w:rPr>
      </w:pPr>
    </w:p>
    <w:p w14:paraId="4E9C3D0F">
      <w:pPr>
        <w:spacing w:line="250" w:lineRule="auto"/>
        <w:rPr>
          <w:rFonts w:ascii="Arial"/>
          <w:sz w:val="21"/>
        </w:rPr>
      </w:pPr>
    </w:p>
    <w:p w14:paraId="21428699">
      <w:pPr>
        <w:spacing w:line="250" w:lineRule="auto"/>
        <w:rPr>
          <w:rFonts w:ascii="Arial"/>
          <w:sz w:val="21"/>
        </w:rPr>
      </w:pPr>
    </w:p>
    <w:p w14:paraId="27FE5D52">
      <w:pPr>
        <w:spacing w:line="250" w:lineRule="auto"/>
        <w:rPr>
          <w:rFonts w:ascii="Arial"/>
          <w:sz w:val="21"/>
        </w:rPr>
      </w:pPr>
    </w:p>
    <w:p w14:paraId="1B032021">
      <w:pPr>
        <w:spacing w:line="250" w:lineRule="auto"/>
        <w:rPr>
          <w:rFonts w:ascii="Arial"/>
          <w:sz w:val="21"/>
        </w:rPr>
      </w:pPr>
    </w:p>
    <w:p w14:paraId="2BD5C720">
      <w:pPr>
        <w:spacing w:line="250" w:lineRule="auto"/>
        <w:rPr>
          <w:rFonts w:ascii="Arial"/>
          <w:sz w:val="21"/>
        </w:rPr>
      </w:pPr>
    </w:p>
    <w:p w14:paraId="1BFD5C75">
      <w:pPr>
        <w:spacing w:line="251" w:lineRule="auto"/>
        <w:rPr>
          <w:rFonts w:ascii="Arial"/>
          <w:sz w:val="21"/>
        </w:rPr>
      </w:pPr>
    </w:p>
    <w:p w14:paraId="1983204D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484ED7BE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226B6C90">
      <w:pPr>
        <w:spacing w:line="244" w:lineRule="auto"/>
        <w:rPr>
          <w:rFonts w:ascii="Arial"/>
          <w:sz w:val="21"/>
        </w:rPr>
      </w:pPr>
    </w:p>
    <w:p w14:paraId="3BB8166E">
      <w:pPr>
        <w:spacing w:line="245" w:lineRule="auto"/>
        <w:rPr>
          <w:rFonts w:ascii="Arial"/>
          <w:sz w:val="21"/>
        </w:rPr>
      </w:pPr>
    </w:p>
    <w:p w14:paraId="1380DD87">
      <w:pPr>
        <w:spacing w:line="245" w:lineRule="auto"/>
        <w:rPr>
          <w:rFonts w:ascii="Arial"/>
          <w:sz w:val="21"/>
        </w:rPr>
      </w:pPr>
    </w:p>
    <w:p w14:paraId="13EED4C6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24E4A0B5">
      <w:pPr>
        <w:spacing w:line="269" w:lineRule="auto"/>
        <w:rPr>
          <w:rFonts w:ascii="Arial"/>
          <w:sz w:val="21"/>
        </w:rPr>
      </w:pPr>
    </w:p>
    <w:p w14:paraId="39E05BAA">
      <w:pPr>
        <w:spacing w:line="269" w:lineRule="auto"/>
        <w:rPr>
          <w:rFonts w:ascii="Arial"/>
          <w:sz w:val="21"/>
        </w:rPr>
      </w:pPr>
    </w:p>
    <w:p w14:paraId="21DDDB6B">
      <w:pPr>
        <w:spacing w:line="270" w:lineRule="auto"/>
        <w:rPr>
          <w:rFonts w:ascii="Arial"/>
          <w:sz w:val="21"/>
        </w:rPr>
      </w:pPr>
    </w:p>
    <w:p w14:paraId="5BAE8C6C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sz w:val="29"/>
          <w:szCs w:val="29"/>
        </w:rPr>
        <w:t>一、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z w:val="29"/>
          <w:szCs w:val="29"/>
        </w:rPr>
        <w:t>(</w:t>
      </w:r>
      <w:r>
        <w:rPr>
          <w:rFonts w:hint="eastAsia"/>
          <w:b/>
          <w:sz w:val="29"/>
          <w:szCs w:val="29"/>
          <w:highlight w:val="yellow"/>
          <w:lang w:eastAsia="zh-CN"/>
        </w:rPr>
        <w:t>委托</w:t>
      </w:r>
      <w:r>
        <w:rPr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合同示范文本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各技术合同认定登记机构可推介技术合同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当事人参照</w:t>
      </w:r>
      <w:r>
        <w:rPr>
          <w:spacing w:val="-12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用</w:t>
      </w:r>
      <w:r>
        <w:rPr>
          <w:spacing w:val="-14"/>
          <w:sz w:val="29"/>
          <w:szCs w:val="29"/>
        </w:rPr>
        <w:t>。</w:t>
      </w:r>
    </w:p>
    <w:p w14:paraId="274F928D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spacing w:val="-15"/>
          <w:sz w:val="29"/>
          <w:szCs w:val="29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本合同书适用于一方当事人委托另一方当事人进行新技术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新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产品</w:t>
      </w:r>
      <w:r>
        <w:rPr>
          <w:spacing w:val="-8"/>
          <w:sz w:val="29"/>
          <w:szCs w:val="29"/>
        </w:rPr>
        <w:t>、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新工艺或者新材料及其系统的研究开发所订立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的技术开发合同</w:t>
      </w:r>
      <w:r>
        <w:rPr>
          <w:spacing w:val="-9"/>
          <w:sz w:val="29"/>
          <w:szCs w:val="29"/>
        </w:rPr>
        <w:t>。</w:t>
      </w:r>
    </w:p>
    <w:p w14:paraId="16C84FB9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三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可按各自在合同关系中的作用等</w:t>
      </w:r>
      <w:r>
        <w:rPr>
          <w:spacing w:val="-9"/>
          <w:sz w:val="29"/>
          <w:szCs w:val="29"/>
        </w:rPr>
        <w:t>，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</w:t>
      </w:r>
      <w:r>
        <w:rPr>
          <w:spacing w:val="-2"/>
          <w:sz w:val="29"/>
          <w:szCs w:val="29"/>
        </w:rPr>
        <w:t>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委托方</w:t>
      </w:r>
      <w:r>
        <w:rPr>
          <w:spacing w:val="-2"/>
          <w:sz w:val="29"/>
          <w:szCs w:val="29"/>
        </w:rPr>
        <w:t>”、“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受托方</w:t>
      </w:r>
      <w:r>
        <w:rPr>
          <w:spacing w:val="-2"/>
          <w:sz w:val="29"/>
          <w:szCs w:val="29"/>
        </w:rPr>
        <w:t>”项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增页</w:t>
      </w:r>
      <w:r>
        <w:rPr>
          <w:spacing w:val="-2"/>
          <w:sz w:val="29"/>
          <w:szCs w:val="29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受托人</w:t>
      </w:r>
      <w:r>
        <w:rPr>
          <w:spacing w:val="-12"/>
          <w:sz w:val="29"/>
          <w:szCs w:val="29"/>
        </w:rPr>
        <w:t>。</w:t>
      </w:r>
    </w:p>
    <w:p w14:paraId="51ADD08A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本合同书未尽事项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并可作为本</w:t>
      </w:r>
      <w:r>
        <w:rPr>
          <w:spacing w:val="-12"/>
          <w:sz w:val="29"/>
          <w:szCs w:val="29"/>
        </w:rPr>
        <w:t>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的组成部分</w:t>
      </w:r>
      <w:r>
        <w:rPr>
          <w:spacing w:val="-13"/>
          <w:sz w:val="29"/>
          <w:szCs w:val="29"/>
        </w:rPr>
        <w:t>。</w:t>
      </w:r>
    </w:p>
    <w:p w14:paraId="32F03F8C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五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应在该条款处</w:t>
      </w:r>
      <w:r>
        <w:rPr>
          <w:spacing w:val="-12"/>
          <w:sz w:val="29"/>
          <w:szCs w:val="29"/>
        </w:rPr>
        <w:t>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无</w:t>
      </w:r>
      <w:r>
        <w:rPr>
          <w:spacing w:val="-39"/>
          <w:sz w:val="32"/>
          <w:szCs w:val="32"/>
        </w:rPr>
        <w:t>”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等字样</w:t>
      </w:r>
      <w:r>
        <w:rPr>
          <w:spacing w:val="-39"/>
          <w:sz w:val="32"/>
          <w:szCs w:val="32"/>
        </w:rPr>
        <w:t>。</w:t>
      </w:r>
    </w:p>
    <w:p w14:paraId="74AA5D4D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2047D488">
      <w:pPr>
        <w:spacing w:line="324" w:lineRule="auto"/>
        <w:rPr>
          <w:rFonts w:ascii="Arial"/>
          <w:sz w:val="21"/>
        </w:rPr>
      </w:pPr>
    </w:p>
    <w:p w14:paraId="0FFEC03E">
      <w:pPr>
        <w:spacing w:line="325" w:lineRule="auto"/>
        <w:rPr>
          <w:rFonts w:ascii="Arial"/>
          <w:sz w:val="21"/>
        </w:rPr>
      </w:pPr>
    </w:p>
    <w:p w14:paraId="6A0093FA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</w:t>
      </w:r>
      <w:r>
        <w:rPr>
          <w:spacing w:val="33"/>
          <w:sz w:val="45"/>
          <w:szCs w:val="45"/>
        </w:rPr>
        <w:t>(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委托</w:t>
      </w:r>
      <w:r>
        <w:rPr>
          <w:spacing w:val="33"/>
          <w:sz w:val="45"/>
          <w:szCs w:val="45"/>
        </w:rPr>
        <w:t>)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合同</w:t>
      </w:r>
    </w:p>
    <w:p w14:paraId="17A99B7C">
      <w:pPr>
        <w:spacing w:line="242" w:lineRule="auto"/>
        <w:rPr>
          <w:rFonts w:ascii="Arial"/>
          <w:sz w:val="21"/>
        </w:rPr>
      </w:pPr>
    </w:p>
    <w:p w14:paraId="2AF16295">
      <w:pPr>
        <w:spacing w:line="242" w:lineRule="auto"/>
        <w:rPr>
          <w:rFonts w:ascii="Arial"/>
          <w:sz w:val="21"/>
        </w:rPr>
      </w:pPr>
    </w:p>
    <w:p w14:paraId="7D650CAE">
      <w:pPr>
        <w:spacing w:line="242" w:lineRule="auto"/>
        <w:rPr>
          <w:rFonts w:ascii="Arial"/>
          <w:sz w:val="21"/>
        </w:rPr>
      </w:pPr>
    </w:p>
    <w:p w14:paraId="14869E94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委托方</w:t>
      </w:r>
      <w:r>
        <w:rPr>
          <w:spacing w:val="2"/>
          <w:position w:val="4"/>
          <w:sz w:val="28"/>
          <w:szCs w:val="28"/>
        </w:rPr>
        <w:t>(</w:t>
      </w: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甲方</w:t>
      </w:r>
      <w:r>
        <w:rPr>
          <w:spacing w:val="2"/>
          <w:position w:val="4"/>
          <w:sz w:val="28"/>
          <w:szCs w:val="28"/>
        </w:rPr>
        <w:t>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机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>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rFonts w:hint="eastAsia"/>
          <w:b/>
          <w:spacing w:val="-3"/>
          <w:sz w:val="28"/>
          <w:szCs w:val="28"/>
          <w:highlight w:val="yellow"/>
          <w:u w:val="single" w:color="auto"/>
          <w:lang w:eastAsia="zh-CN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</w:t>
      </w:r>
      <w:r>
        <w:rPr>
          <w:spacing w:val="35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浙江省嘉兴市嘉善县罗星街道灵秀路111号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电话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传真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45996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</w:t>
      </w:r>
      <w:r>
        <w:rPr>
          <w:position w:val="3"/>
          <w:sz w:val="28"/>
          <w:szCs w:val="28"/>
        </w:rPr>
        <w:t>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</w:t>
      </w:r>
      <w:r>
        <w:rPr>
          <w:rFonts w:hint="eastAsia" w:ascii="Arial" w:hAnsi="Arial" w:cs="Arial"/>
          <w:b/>
          <w:spacing w:val="-1"/>
          <w:sz w:val="28"/>
          <w:szCs w:val="28"/>
          <w:highlight w:val="yellow"/>
          <w:u w:val="single" w:color="auto"/>
          <w:lang w:eastAsia="zh-CN"/>
        </w:rPr>
        <w:t>o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>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受托方</w:t>
      </w:r>
      <w:r>
        <w:rPr>
          <w:spacing w:val="14"/>
          <w:sz w:val="28"/>
          <w:szCs w:val="28"/>
        </w:rPr>
        <w:t>(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乙方</w:t>
      </w:r>
      <w:r>
        <w:rPr>
          <w:spacing w:val="14"/>
          <w:sz w:val="28"/>
          <w:szCs w:val="28"/>
        </w:rPr>
        <w:t xml:space="preserve">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13"/>
          <w:sz w:val="28"/>
          <w:szCs w:val="28"/>
          <w:u w:val="single" w:color="auto"/>
        </w:rPr>
        <w:t xml:space="preserve">             </w:t>
      </w:r>
    </w:p>
    <w:p w14:paraId="50F74368">
      <w:pPr>
        <w:pStyle w:val="2"/>
        <w:spacing w:before="141" w:line="362" w:lineRule="auto"/>
        <w:ind w:left="979" w:right="130" w:hanging="13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</w:t>
      </w:r>
      <w:r>
        <w:rPr>
          <w:spacing w:val="-6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</w:t>
      </w:r>
      <w:r>
        <w:rPr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联系方式</w:t>
      </w:r>
      <w:r>
        <w:rPr>
          <w:spacing w:val="-3"/>
          <w:sz w:val="28"/>
          <w:szCs w:val="28"/>
        </w:rPr>
        <w:t>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</w:t>
      </w:r>
      <w:r>
        <w:rPr>
          <w:spacing w:val="3"/>
          <w:sz w:val="28"/>
          <w:szCs w:val="28"/>
        </w:rPr>
        <w:t xml:space="preserve">：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苏州市虎丘区学府路99号苏州科技大学电子学院</w:t>
      </w:r>
    </w:p>
    <w:p w14:paraId="01AD8E5B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8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98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传真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8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98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</w:t>
      </w:r>
      <w:r>
        <w:rPr>
          <w:rFonts w:hint="eastAsia" w:ascii="Times New Roman" w:hAnsi="Times New Roman" w:cs="Times New Roman"/>
          <w:b/>
          <w:sz w:val="29"/>
          <w:szCs w:val="29"/>
          <w:highlight w:val="yellow"/>
          <w:u w:val="single" w:color="auto"/>
          <w:lang w:eastAsia="zh-CN"/>
        </w:rPr>
        <w:t>zy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j@mail.usts.edu.cn                         </w:t>
      </w:r>
    </w:p>
    <w:p w14:paraId="1521C52C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本合同甲方委托乙方研究开发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流无刷电机驱动及</w:t>
      </w:r>
      <w:r>
        <w:rPr>
          <w:sz w:val="28"/>
          <w:szCs w:val="28"/>
          <w:u w:val="single" w:color="auto"/>
        </w:rPr>
        <w:t>锂电协同管理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系统</w:t>
      </w:r>
      <w:r>
        <w:rPr>
          <w:spacing w:val="-7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项目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并支付研究开发经费和报酬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乙方接受委托并进行此项研究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开发工作</w:t>
      </w:r>
      <w:r>
        <w:rPr>
          <w:spacing w:val="-11"/>
          <w:sz w:val="28"/>
          <w:szCs w:val="28"/>
        </w:rPr>
        <w:t>。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双方经过平等协商</w:t>
      </w:r>
      <w:r>
        <w:rPr>
          <w:spacing w:val="-11"/>
          <w:sz w:val="28"/>
          <w:szCs w:val="28"/>
        </w:rPr>
        <w:t>，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在真实</w:t>
      </w:r>
      <w:r>
        <w:rPr>
          <w:spacing w:val="-11"/>
          <w:sz w:val="28"/>
          <w:szCs w:val="28"/>
        </w:rPr>
        <w:t>、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-11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根据</w:t>
      </w:r>
      <w:r>
        <w:rPr>
          <w:spacing w:val="-2"/>
          <w:sz w:val="28"/>
          <w:szCs w:val="28"/>
        </w:rPr>
        <w:t>《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2"/>
          <w:sz w:val="28"/>
          <w:szCs w:val="28"/>
        </w:rPr>
        <w:t>》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的规定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达成如下协议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并由双方共同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恪守</w:t>
      </w:r>
      <w:r>
        <w:rPr>
          <w:spacing w:val="-3"/>
          <w:sz w:val="28"/>
          <w:szCs w:val="28"/>
        </w:rPr>
        <w:t>。</w:t>
      </w:r>
    </w:p>
    <w:p w14:paraId="685501A5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40AE8828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第一条本合同研究开发项目的要求如下</w:t>
      </w:r>
      <w:r>
        <w:rPr>
          <w:spacing w:val="1"/>
          <w:sz w:val="29"/>
          <w:szCs w:val="29"/>
        </w:rPr>
        <w:t>：</w:t>
      </w:r>
    </w:p>
    <w:p w14:paraId="274E5CA3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技术目标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直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2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2"/>
          <w:sz w:val="29"/>
          <w:szCs w:val="29"/>
          <w:u w:val="single" w:color="auto"/>
        </w:rPr>
        <w:t>；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一套目前清洗机用的</w:t>
      </w:r>
      <w:r>
        <w:rPr>
          <w:spacing w:val="-5"/>
          <w:sz w:val="29"/>
          <w:szCs w:val="29"/>
          <w:u w:val="single" w:color="auto"/>
        </w:rPr>
        <w:t>某型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流电机的控制器的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软硬件设计方案</w:t>
      </w:r>
      <w:r>
        <w:rPr>
          <w:spacing w:val="-6"/>
          <w:sz w:val="29"/>
          <w:szCs w:val="29"/>
          <w:u w:val="single" w:color="auto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提供一套无刷电机和</w:t>
      </w:r>
      <w:r>
        <w:rPr>
          <w:spacing w:val="-11"/>
          <w:sz w:val="29"/>
          <w:szCs w:val="29"/>
          <w:u w:val="single" w:color="auto"/>
        </w:rPr>
        <w:t>配套锂电池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监测</w:t>
      </w:r>
      <w:r>
        <w:rPr>
          <w:spacing w:val="-11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12"/>
          <w:sz w:val="29"/>
          <w:szCs w:val="29"/>
          <w:u w:val="single" w:color="auto"/>
        </w:rPr>
        <w:t>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方案</w:t>
      </w:r>
      <w:r>
        <w:rPr>
          <w:spacing w:val="-12"/>
          <w:sz w:val="29"/>
          <w:szCs w:val="29"/>
          <w:u w:val="single" w:color="auto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将无刷电机驱动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模块和</w:t>
      </w:r>
      <w:r>
        <w:rPr>
          <w:spacing w:val="-9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模块集成到一个系统控制板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并优化器件和布线</w:t>
      </w:r>
      <w:r>
        <w:rPr>
          <w:spacing w:val="-9"/>
          <w:sz w:val="29"/>
          <w:szCs w:val="29"/>
          <w:u w:val="single" w:color="auto"/>
        </w:rPr>
        <w:t>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7CAA8625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技术内容</w:t>
      </w:r>
      <w:r>
        <w:rPr>
          <w:spacing w:val="-5"/>
          <w:sz w:val="29"/>
          <w:szCs w:val="29"/>
        </w:rPr>
        <w:t>：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5"/>
          <w:sz w:val="29"/>
          <w:szCs w:val="29"/>
          <w:u w:val="single" w:color="auto"/>
        </w:rPr>
        <w:t>锂电协同管</w:t>
      </w:r>
      <w:r>
        <w:rPr>
          <w:spacing w:val="-6"/>
          <w:sz w:val="29"/>
          <w:szCs w:val="29"/>
          <w:u w:val="single" w:color="auto"/>
        </w:rPr>
        <w:t>理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系统的技术内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072631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7B2BDF">
            <w:pPr>
              <w:pStyle w:val="6"/>
              <w:spacing w:before="247" w:line="177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提供一套无刷</w:t>
            </w:r>
            <w:r>
              <w:rPr>
                <w:spacing w:val="-2"/>
              </w:rPr>
              <w:t>直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流电机控制器的设计方案</w:t>
            </w:r>
            <w:r>
              <w:rPr>
                <w:spacing w:val="-2"/>
              </w:rPr>
              <w:t>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实现电机的多个</w:t>
            </w:r>
            <w:r>
              <w:rPr>
                <w:rFonts w:hint="eastAsia"/>
                <w:b/>
                <w:spacing w:val="-3"/>
                <w:highlight w:val="yellow"/>
                <w:lang w:eastAsia="zh-CN"/>
              </w:rPr>
              <w:t>参数</w:t>
            </w:r>
          </w:p>
        </w:tc>
      </w:tr>
      <w:tr w14:paraId="49BA6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F8C873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包括转数</w:t>
            </w:r>
            <w:r>
              <w:rPr>
                <w:spacing w:val="49"/>
              </w:rPr>
              <w:t>、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占空比以及电流等</w:t>
            </w:r>
            <w:r>
              <w:rPr>
                <w:spacing w:val="49"/>
              </w:rPr>
              <w:t>)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的有效控制</w:t>
            </w:r>
            <w:r>
              <w:rPr>
                <w:spacing w:val="48"/>
              </w:rPr>
              <w:t>；</w:t>
            </w:r>
          </w:p>
        </w:tc>
      </w:tr>
      <w:tr w14:paraId="00269B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31E850">
            <w:pPr>
              <w:pStyle w:val="6"/>
              <w:spacing w:before="251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2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设计无刷</w:t>
            </w:r>
            <w:r>
              <w:rPr>
                <w:spacing w:val="-10"/>
              </w:rPr>
              <w:t>直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流电机控制器的硬件系统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提供控制器的硬件电路板的</w:t>
            </w:r>
          </w:p>
        </w:tc>
      </w:tr>
      <w:tr w14:paraId="6EEE2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827537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66511DED">
            <w:pPr>
              <w:pStyle w:val="6"/>
              <w:spacing w:before="186" w:line="174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3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设计无刷</w:t>
            </w:r>
            <w:r>
              <w:rPr>
                <w:spacing w:val="-2"/>
              </w:rPr>
              <w:t>直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流电机控制器的软件系统</w:t>
            </w:r>
            <w:r>
              <w:rPr>
                <w:spacing w:val="-2"/>
              </w:rPr>
              <w:t>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提供控制器的软件设计流</w:t>
            </w:r>
          </w:p>
        </w:tc>
      </w:tr>
      <w:tr w14:paraId="37DCAE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FAA887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提供软件的各个接口和模块单元设计的说明书</w:t>
            </w:r>
            <w:r>
              <w:rPr>
                <w:spacing w:val="29"/>
              </w:rPr>
              <w:t>；</w:t>
            </w:r>
          </w:p>
        </w:tc>
      </w:tr>
      <w:tr w14:paraId="6B6663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951C0C6">
            <w:pPr>
              <w:pStyle w:val="6"/>
              <w:spacing w:before="237" w:line="172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4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提供一套无刷电机和</w:t>
            </w:r>
            <w:r>
              <w:rPr>
                <w:spacing w:val="-11"/>
              </w:rPr>
              <w:t>配套锂电池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监测</w:t>
            </w:r>
            <w:r>
              <w:rPr>
                <w:spacing w:val="-11"/>
              </w:rPr>
              <w:t>保护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的可</w:t>
            </w:r>
            <w:r>
              <w:rPr>
                <w:spacing w:val="-11"/>
              </w:rPr>
              <w:t>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方案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实现电机的</w:t>
            </w:r>
          </w:p>
        </w:tc>
      </w:tr>
      <w:tr w14:paraId="374DA8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5495E0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流</w:t>
            </w:r>
            <w:r>
              <w:rPr>
                <w:spacing w:val="-16"/>
              </w:rPr>
              <w:t>保护、锂电池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的</w:t>
            </w:r>
            <w:r>
              <w:rPr>
                <w:spacing w:val="-16"/>
              </w:rPr>
              <w:t>充放电保护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以及</w:t>
            </w:r>
            <w:r>
              <w:rPr>
                <w:spacing w:val="-16"/>
              </w:rPr>
              <w:t>过温保护，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并提供具体方法和数据</w:t>
            </w:r>
            <w:r>
              <w:rPr>
                <w:spacing w:val="-16"/>
              </w:rPr>
              <w:t>；</w:t>
            </w:r>
          </w:p>
        </w:tc>
      </w:tr>
      <w:tr w14:paraId="79734C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120197">
            <w:pPr>
              <w:pStyle w:val="6"/>
              <w:spacing w:before="251" w:line="170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5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分析</w:t>
            </w:r>
            <w:r>
              <w:rPr>
                <w:spacing w:val="-11"/>
              </w:rPr>
              <w:t>直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流无刷电机驱动模块和</w:t>
            </w:r>
            <w:r>
              <w:rPr>
                <w:spacing w:val="-11"/>
              </w:rPr>
              <w:t>锂电池管理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模块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的</w:t>
            </w:r>
            <w:r>
              <w:rPr>
                <w:spacing w:val="-12"/>
              </w:rPr>
              <w:t>协同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方式</w:t>
            </w:r>
            <w:r>
              <w:rPr>
                <w:spacing w:val="-12"/>
              </w:rPr>
              <w:t>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从器件</w:t>
            </w:r>
          </w:p>
        </w:tc>
      </w:tr>
      <w:tr w14:paraId="1E2DB9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2A8A3B">
            <w:pPr>
              <w:pStyle w:val="6"/>
              <w:spacing w:before="242" w:line="169" w:lineRule="auto"/>
              <w:ind w:left="18"/>
            </w:pP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分析和</w:t>
            </w:r>
            <w:r>
              <w:rPr>
                <w:rFonts w:hint="eastAsia"/>
                <w:b/>
                <w:highlight w:val="yellow"/>
                <w:lang w:eastAsia="zh-CN"/>
              </w:rPr>
              <w:t>PCB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布线综合优化</w:t>
            </w:r>
            <w:r>
              <w:rPr>
                <w:spacing w:val="17"/>
              </w:rPr>
              <w:t>，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开发完成整个集成系统的控制板</w:t>
            </w:r>
            <w:r>
              <w:rPr>
                <w:spacing w:val="16"/>
              </w:rPr>
              <w:t>。</w:t>
            </w:r>
          </w:p>
        </w:tc>
      </w:tr>
      <w:tr w14:paraId="0BD03F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5DC21C">
            <w:pPr>
              <w:pStyle w:val="6"/>
              <w:spacing w:before="212" w:line="290" w:lineRule="auto"/>
              <w:ind w:left="18" w:right="186" w:firstLine="850"/>
            </w:pP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.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技术方法和路线</w:t>
            </w:r>
            <w:r>
              <w:rPr>
                <w:spacing w:val="-12"/>
              </w:rPr>
              <w:t>：</w:t>
            </w:r>
            <w:r>
              <w:rPr>
                <w:spacing w:val="-12"/>
                <w:u w:val="single" w:color="auto"/>
              </w:rPr>
              <w:t>直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流无刷电机驱动及</w:t>
            </w:r>
            <w:r>
              <w:rPr>
                <w:spacing w:val="-12"/>
                <w:u w:val="single" w:color="auto"/>
              </w:rPr>
              <w:t>锂电协同管理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系统的</w:t>
            </w:r>
            <w:r>
              <w:rPr>
                <w:spacing w:val="-12"/>
                <w:u w:val="single" w:color="auto"/>
              </w:rPr>
              <w:t>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为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1237A5E5">
      <w:pPr>
        <w:spacing w:line="246" w:lineRule="auto"/>
        <w:rPr>
          <w:rFonts w:ascii="Arial"/>
          <w:sz w:val="21"/>
        </w:rPr>
      </w:pPr>
    </w:p>
    <w:p w14:paraId="43D789F4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3"/>
          <w:sz w:val="29"/>
          <w:szCs w:val="29"/>
          <w:u w:val="single" w:color="auto"/>
        </w:rPr>
        <w:t>)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调研</w:t>
      </w:r>
      <w:r>
        <w:rPr>
          <w:spacing w:val="-3"/>
          <w:sz w:val="29"/>
          <w:szCs w:val="29"/>
          <w:u w:val="single" w:color="auto"/>
        </w:rPr>
        <w:t>市面直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流无刷电机</w:t>
      </w:r>
      <w:r>
        <w:rPr>
          <w:spacing w:val="-3"/>
          <w:sz w:val="29"/>
          <w:szCs w:val="29"/>
          <w:u w:val="single" w:color="auto"/>
        </w:rPr>
        <w:t>类型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和相关驱动控制系统的</w:t>
      </w:r>
      <w:r>
        <w:rPr>
          <w:spacing w:val="-3"/>
          <w:sz w:val="29"/>
          <w:szCs w:val="29"/>
          <w:u w:val="single" w:color="auto"/>
        </w:rPr>
        <w:t>市场状况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和应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用情况</w:t>
      </w:r>
      <w:r>
        <w:rPr>
          <w:spacing w:val="-12"/>
          <w:sz w:val="29"/>
          <w:szCs w:val="29"/>
          <w:u w:val="single" w:color="auto"/>
        </w:rPr>
        <w:t>，掌握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目前无刷电机在清洗机行业的</w:t>
      </w:r>
      <w:r>
        <w:rPr>
          <w:spacing w:val="-12"/>
          <w:sz w:val="29"/>
          <w:szCs w:val="29"/>
          <w:u w:val="single" w:color="auto"/>
        </w:rPr>
        <w:t>发展瓶颈，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分析清洗机行业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对应用控制技术和</w:t>
      </w:r>
      <w:r>
        <w:rPr>
          <w:spacing w:val="-9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技术提升产品</w:t>
      </w:r>
      <w:r>
        <w:rPr>
          <w:spacing w:val="-9"/>
          <w:sz w:val="29"/>
          <w:szCs w:val="29"/>
          <w:u w:val="single" w:color="auto"/>
        </w:rPr>
        <w:t>质量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的具体要求及功</w:t>
      </w:r>
      <w:r>
        <w:rPr>
          <w:spacing w:val="-9"/>
          <w:sz w:val="29"/>
          <w:szCs w:val="29"/>
          <w:u w:val="single" w:color="auto"/>
        </w:rPr>
        <w:t>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1E85B390">
      <w:pPr>
        <w:pStyle w:val="2"/>
        <w:spacing w:before="294" w:line="310" w:lineRule="auto"/>
        <w:ind w:left="172" w:right="183" w:firstLine="140"/>
        <w:rPr>
          <w:rFonts w:hint="eastAsia" w:eastAsia="宋体"/>
          <w:sz w:val="29"/>
          <w:szCs w:val="29"/>
          <w:lang w:eastAsia="zh-CN"/>
        </w:rPr>
      </w:pPr>
      <w:r>
        <w:rPr>
          <w:spacing w:val="-11"/>
          <w:sz w:val="29"/>
          <w:szCs w:val="29"/>
          <w:u w:val="single" w:color="auto"/>
        </w:rPr>
        <w:t>(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1"/>
          <w:sz w:val="29"/>
          <w:szCs w:val="29"/>
          <w:u w:val="single" w:color="auto"/>
        </w:rPr>
        <w:t>直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流无刷电机驱动控制系统的方案进行总体设计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主要包括以下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三个模块</w:t>
      </w:r>
      <w:r>
        <w:rPr>
          <w:spacing w:val="-11"/>
          <w:sz w:val="29"/>
          <w:szCs w:val="29"/>
        </w:rPr>
        <w:t>：直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流无刷电机的监测模块</w:t>
      </w:r>
      <w:r>
        <w:rPr>
          <w:spacing w:val="-11"/>
          <w:sz w:val="29"/>
          <w:szCs w:val="29"/>
        </w:rPr>
        <w:t>、直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流无刷电机的功率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驱动模块以</w:t>
      </w:r>
    </w:p>
    <w:p w14:paraId="544FC3A7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6090E242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及电机联动控制和算法优化模块</w:t>
      </w:r>
      <w:r>
        <w:rPr>
          <w:spacing w:val="-12"/>
          <w:sz w:val="29"/>
          <w:szCs w:val="29"/>
          <w:u w:val="single" w:color="auto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2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模块进行分析设计</w:t>
      </w:r>
      <w:r>
        <w:rPr>
          <w:spacing w:val="-12"/>
          <w:sz w:val="29"/>
          <w:szCs w:val="29"/>
          <w:u w:val="single" w:color="auto"/>
        </w:rPr>
        <w:t>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模块的具体监测和</w:t>
      </w:r>
      <w:r>
        <w:rPr>
          <w:spacing w:val="15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参数以及实施方案</w:t>
      </w:r>
      <w:r>
        <w:rPr>
          <w:spacing w:val="15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pacing w:val="-7"/>
          <w:sz w:val="29"/>
          <w:szCs w:val="29"/>
          <w:u w:val="single" w:color="auto"/>
        </w:rPr>
        <w:t>：温度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等输入信号的采集电路设计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电压和电流信号的</w:t>
      </w:r>
      <w:r>
        <w:rPr>
          <w:spacing w:val="-8"/>
          <w:sz w:val="29"/>
          <w:szCs w:val="29"/>
          <w:u w:val="single" w:color="auto"/>
        </w:rPr>
        <w:t>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电路设计</w:t>
      </w:r>
      <w:r>
        <w:rPr>
          <w:spacing w:val="-7"/>
          <w:sz w:val="29"/>
          <w:szCs w:val="29"/>
          <w:u w:val="single" w:color="auto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电压PWM控制电路设计</w:t>
      </w:r>
      <w:r>
        <w:rPr>
          <w:spacing w:val="-7"/>
          <w:sz w:val="29"/>
          <w:szCs w:val="29"/>
          <w:u w:val="single" w:color="auto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电机限流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控制电路设计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电机</w:t>
      </w:r>
      <w:r>
        <w:rPr>
          <w:spacing w:val="-8"/>
          <w:sz w:val="29"/>
          <w:szCs w:val="29"/>
          <w:u w:val="single" w:color="auto"/>
        </w:rPr>
        <w:t>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34"/>
          <w:sz w:val="29"/>
          <w:szCs w:val="29"/>
          <w:u w:val="single" w:color="auto"/>
        </w:rPr>
        <w:t>理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算法</w:t>
      </w:r>
      <w:r>
        <w:rPr>
          <w:spacing w:val="34"/>
          <w:sz w:val="29"/>
          <w:szCs w:val="29"/>
          <w:u w:val="single" w:color="auto"/>
        </w:rPr>
        <w:t>、过程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控制算法及联动控制算法的实现</w:t>
      </w:r>
      <w:r>
        <w:rPr>
          <w:spacing w:val="34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测试</w:t>
      </w:r>
      <w:r>
        <w:rPr>
          <w:spacing w:val="-7"/>
          <w:sz w:val="29"/>
          <w:szCs w:val="29"/>
          <w:u w:val="single" w:color="auto"/>
        </w:rPr>
        <w:t>、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7"/>
          <w:sz w:val="29"/>
          <w:szCs w:val="29"/>
          <w:u w:val="single" w:color="auto"/>
        </w:rPr>
        <w:t>：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测试设计系统各个子功能模块的可靠性</w:t>
      </w:r>
      <w:r>
        <w:rPr>
          <w:spacing w:val="-7"/>
          <w:sz w:val="29"/>
          <w:szCs w:val="29"/>
          <w:u w:val="single" w:color="auto"/>
        </w:rPr>
        <w:t>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各个单元模块进行整体调试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根据实际产品的需求改进和优化控制</w:t>
      </w:r>
      <w:r>
        <w:rPr>
          <w:spacing w:val="-12"/>
          <w:sz w:val="29"/>
          <w:szCs w:val="29"/>
          <w:u w:val="single" w:color="auto"/>
        </w:rPr>
        <w:t>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的方案</w:t>
      </w:r>
      <w:r>
        <w:rPr>
          <w:spacing w:val="3"/>
          <w:sz w:val="29"/>
          <w:szCs w:val="29"/>
          <w:u w:val="single" w:color="auto"/>
        </w:rPr>
        <w:t>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同时根据产品的成本和收益调整每个部件的配置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7B1D10F6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)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进行技术资料的整理和汇总</w:t>
      </w:r>
      <w:r>
        <w:rPr>
          <w:spacing w:val="4"/>
          <w:sz w:val="29"/>
          <w:szCs w:val="29"/>
          <w:u w:val="single" w:color="auto"/>
        </w:rPr>
        <w:t>，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生成有效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的技术资料报告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65E78950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日内向甲方提交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</w:t>
      </w:r>
      <w:r>
        <w:rPr>
          <w:spacing w:val="2"/>
          <w:sz w:val="29"/>
          <w:szCs w:val="29"/>
        </w:rPr>
        <w:t>计</w:t>
      </w:r>
    </w:p>
    <w:p w14:paraId="1EABA87F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研究开发计划应包括以下主要内容</w:t>
      </w:r>
      <w:r>
        <w:rPr>
          <w:spacing w:val="-14"/>
          <w:sz w:val="29"/>
          <w:szCs w:val="29"/>
        </w:rPr>
        <w:t>：</w:t>
      </w:r>
    </w:p>
    <w:p w14:paraId="1139C408">
      <w:pPr>
        <w:pStyle w:val="2"/>
        <w:spacing w:before="288" w:line="220" w:lineRule="auto"/>
        <w:ind w:left="6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1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开发工作进度</w:t>
      </w:r>
    </w:p>
    <w:p w14:paraId="00B8041C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技术开发的主要内容</w:t>
      </w:r>
      <w:r>
        <w:rPr>
          <w:spacing w:val="-2"/>
          <w:sz w:val="29"/>
          <w:szCs w:val="29"/>
          <w:u w:val="single" w:color="auto"/>
        </w:rPr>
        <w:t>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技术目标和经费预算</w:t>
      </w:r>
      <w:r>
        <w:rPr>
          <w:spacing w:val="-2"/>
          <w:sz w:val="29"/>
          <w:szCs w:val="29"/>
          <w:u w:val="single" w:color="auto"/>
        </w:rPr>
        <w:t>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第三条乙方应按下列进度完成研究开发工作</w:t>
      </w:r>
      <w:r>
        <w:rPr>
          <w:spacing w:val="1"/>
          <w:sz w:val="29"/>
          <w:szCs w:val="29"/>
        </w:rPr>
        <w:t>：</w:t>
      </w:r>
    </w:p>
    <w:p w14:paraId="582893C2">
      <w:pPr>
        <w:pStyle w:val="2"/>
        <w:spacing w:before="321" w:line="281" w:lineRule="auto"/>
        <w:ind w:left="1059" w:right="324" w:hanging="56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20日至2021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5"/>
          <w:sz w:val="29"/>
          <w:szCs w:val="29"/>
          <w:u w:val="single" w:color="auto"/>
        </w:rPr>
        <w:t>,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5"/>
          <w:sz w:val="29"/>
          <w:szCs w:val="29"/>
          <w:u w:val="single" w:color="auto"/>
        </w:rPr>
        <w:t>直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流电机在清洗机行业的应用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和提升的前期调研</w:t>
      </w:r>
    </w:p>
    <w:p w14:paraId="0B5D7642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1"/>
          <w:sz w:val="29"/>
          <w:szCs w:val="29"/>
          <w:u w:val="single" w:color="auto"/>
        </w:rPr>
        <w:t>,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1"/>
          <w:sz w:val="29"/>
          <w:szCs w:val="29"/>
          <w:u w:val="single" w:color="auto"/>
        </w:rPr>
        <w:t>直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流电机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驱动系统总体方案设计</w:t>
      </w:r>
      <w:r>
        <w:rPr>
          <w:sz w:val="29"/>
          <w:szCs w:val="29"/>
          <w:u w:val="single" w:color="auto"/>
        </w:rPr>
        <w:t>；</w:t>
      </w:r>
    </w:p>
    <w:p w14:paraId="4932770D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8,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9"/>
          <w:sz w:val="29"/>
          <w:szCs w:val="29"/>
          <w:u w:val="single" w:color="auto"/>
        </w:rPr>
        <w:t>直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流电机驱动控制系统的软硬件具体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方案设计和实现</w:t>
      </w:r>
      <w:r>
        <w:rPr>
          <w:spacing w:val="-1"/>
          <w:sz w:val="29"/>
          <w:szCs w:val="29"/>
          <w:u w:val="single" w:color="auto"/>
        </w:rPr>
        <w:t>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77159B37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无刷</w:t>
      </w:r>
      <w:r>
        <w:rPr>
          <w:spacing w:val="-6"/>
          <w:sz w:val="29"/>
          <w:szCs w:val="29"/>
          <w:u w:val="single" w:color="auto"/>
        </w:rPr>
        <w:t>直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流电机驱动控制系统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的硬件电路和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软件程序</w:t>
      </w:r>
      <w:r>
        <w:rPr>
          <w:spacing w:val="-1"/>
          <w:sz w:val="29"/>
          <w:szCs w:val="29"/>
          <w:u w:val="single" w:color="auto"/>
        </w:rPr>
        <w:t>仿真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测试以及实物模型验证</w:t>
      </w:r>
      <w:r>
        <w:rPr>
          <w:spacing w:val="-1"/>
          <w:sz w:val="29"/>
          <w:szCs w:val="29"/>
          <w:u w:val="single" w:color="auto"/>
        </w:rPr>
        <w:t>；</w:t>
      </w:r>
    </w:p>
    <w:p w14:paraId="739D9057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8"/>
          <w:sz w:val="29"/>
          <w:szCs w:val="29"/>
          <w:u w:val="single" w:color="auto"/>
        </w:rPr>
        <w:t>,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8"/>
          <w:sz w:val="29"/>
          <w:szCs w:val="29"/>
          <w:u w:val="single" w:color="auto"/>
        </w:rPr>
        <w:t>锂电池管理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模块的监测</w:t>
      </w:r>
      <w:r>
        <w:rPr>
          <w:spacing w:val="-8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参数的</w:t>
      </w:r>
      <w:r>
        <w:rPr>
          <w:spacing w:val="-8"/>
          <w:sz w:val="29"/>
          <w:szCs w:val="29"/>
          <w:u w:val="single" w:color="auto"/>
        </w:rPr>
        <w:t>采</w:t>
      </w:r>
    </w:p>
    <w:p w14:paraId="2EE9D1B0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方法和具体方案</w:t>
      </w:r>
      <w:r>
        <w:rPr>
          <w:spacing w:val="-16"/>
          <w:sz w:val="29"/>
          <w:szCs w:val="29"/>
          <w:u w:val="single" w:color="auto"/>
        </w:rPr>
        <w:t>，考虑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与电机驱动</w:t>
      </w:r>
      <w:r>
        <w:rPr>
          <w:spacing w:val="-16"/>
          <w:sz w:val="29"/>
          <w:szCs w:val="29"/>
          <w:u w:val="single" w:color="auto"/>
        </w:rPr>
        <w:t>、保护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功</w:t>
      </w:r>
      <w:r>
        <w:rPr>
          <w:spacing w:val="-16"/>
          <w:sz w:val="29"/>
          <w:szCs w:val="29"/>
          <w:u w:val="single" w:color="auto"/>
        </w:rPr>
        <w:t>能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6"/>
          <w:sz w:val="29"/>
          <w:szCs w:val="29"/>
          <w:u w:val="single" w:color="auto"/>
        </w:rPr>
        <w:t>协同融合策略，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的集成系统的控制电路板</w:t>
      </w:r>
      <w:r>
        <w:rPr>
          <w:spacing w:val="-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"/>
          <w:sz w:val="29"/>
          <w:szCs w:val="29"/>
          <w:u w:val="single" w:color="auto"/>
        </w:rPr>
        <w:t>编写完整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程序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代码</w:t>
      </w:r>
      <w:r>
        <w:rPr>
          <w:spacing w:val="-1"/>
          <w:sz w:val="29"/>
          <w:szCs w:val="29"/>
          <w:u w:val="single" w:color="auto"/>
        </w:rPr>
        <w:t>；</w:t>
      </w:r>
    </w:p>
    <w:p w14:paraId="30D621F5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5E9A51FF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10"/>
          <w:sz w:val="29"/>
          <w:szCs w:val="29"/>
          <w:u w:val="single" w:color="auto"/>
        </w:rPr>
        <w:t>.7.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15制作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完成集成系统的控制电路板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烧制</w:t>
      </w:r>
      <w:r>
        <w:rPr>
          <w:spacing w:val="-11"/>
          <w:sz w:val="29"/>
          <w:szCs w:val="29"/>
          <w:u w:val="single" w:color="auto"/>
        </w:rPr>
        <w:t>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代码</w:t>
      </w:r>
      <w:r>
        <w:rPr>
          <w:spacing w:val="-20"/>
          <w:sz w:val="29"/>
          <w:szCs w:val="29"/>
          <w:u w:val="single" w:color="auto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进行整体方案总体测试</w:t>
      </w:r>
      <w:r>
        <w:rPr>
          <w:spacing w:val="-20"/>
          <w:sz w:val="29"/>
          <w:szCs w:val="29"/>
          <w:u w:val="single" w:color="auto"/>
        </w:rPr>
        <w:t>、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20"/>
          <w:sz w:val="29"/>
          <w:szCs w:val="29"/>
          <w:u w:val="single" w:color="auto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并形成相关技术材料</w:t>
      </w:r>
      <w:r>
        <w:rPr>
          <w:spacing w:val="-20"/>
          <w:sz w:val="29"/>
          <w:szCs w:val="29"/>
          <w:u w:val="single" w:color="auto"/>
        </w:rPr>
        <w:t>；</w:t>
      </w:r>
    </w:p>
    <w:p w14:paraId="5A9A5566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.7.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20前完成系统的调试和技术资料汇总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准备交付甲方</w:t>
      </w:r>
      <w:r>
        <w:rPr>
          <w:spacing w:val="-8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第四条甲方应向乙方提供的技术资料及协作事项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</w:p>
    <w:p w14:paraId="4FD04982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1</w:t>
      </w:r>
      <w:r>
        <w:rPr>
          <w:spacing w:val="-12"/>
          <w:sz w:val="29"/>
          <w:szCs w:val="29"/>
        </w:rPr>
        <w:t>.</w:t>
      </w:r>
      <w:r>
        <w:rPr>
          <w:spacing w:val="-7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技术资料清单</w:t>
      </w:r>
      <w:r>
        <w:rPr>
          <w:spacing w:val="-12"/>
          <w:sz w:val="29"/>
          <w:szCs w:val="29"/>
        </w:rPr>
        <w:t>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12"/>
          <w:sz w:val="29"/>
          <w:szCs w:val="29"/>
          <w:u w:val="single" w:color="auto"/>
        </w:rPr>
        <w:t xml:space="preserve">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1D133718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2</w:t>
      </w:r>
      <w:r>
        <w:rPr>
          <w:spacing w:val="16"/>
          <w:sz w:val="29"/>
          <w:szCs w:val="29"/>
        </w:rPr>
        <w:t xml:space="preserve">. 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提供时间和方式</w:t>
      </w:r>
      <w:r>
        <w:rPr>
          <w:spacing w:val="16"/>
          <w:sz w:val="29"/>
          <w:szCs w:val="29"/>
        </w:rPr>
        <w:t>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在合同签订后15日内提供纸质版本</w:t>
      </w:r>
      <w:r>
        <w:rPr>
          <w:spacing w:val="16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 xml:space="preserve">  </w:t>
      </w:r>
    </w:p>
    <w:p w14:paraId="6566F91D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3</w:t>
      </w:r>
      <w:r>
        <w:rPr>
          <w:spacing w:val="-17"/>
          <w:sz w:val="29"/>
          <w:szCs w:val="29"/>
        </w:rPr>
        <w:t xml:space="preserve">.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其他协作事项</w:t>
      </w:r>
      <w:r>
        <w:rPr>
          <w:spacing w:val="-17"/>
          <w:sz w:val="29"/>
          <w:szCs w:val="29"/>
        </w:rPr>
        <w:t>：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第五条甲方应按以下方式支付研究开发经费和报酬</w:t>
      </w:r>
      <w:r>
        <w:rPr>
          <w:spacing w:val="-2"/>
          <w:sz w:val="29"/>
          <w:szCs w:val="29"/>
        </w:rPr>
        <w:t>：</w:t>
      </w:r>
    </w:p>
    <w:p w14:paraId="0712F796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研究开发经费和报酬总额为</w:t>
      </w:r>
      <w:r>
        <w:rPr>
          <w:spacing w:val="6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6"/>
          <w:sz w:val="29"/>
          <w:szCs w:val="29"/>
          <w:u w:val="single" w:color="auto"/>
        </w:rPr>
        <w:t>玖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6"/>
          <w:sz w:val="29"/>
          <w:szCs w:val="29"/>
          <w:u w:val="single" w:color="auto"/>
        </w:rPr>
        <w:t>陆仟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元</w:t>
      </w:r>
      <w:r>
        <w:rPr>
          <w:spacing w:val="6"/>
          <w:sz w:val="29"/>
          <w:szCs w:val="29"/>
          <w:u w:val="single" w:color="auto"/>
        </w:rPr>
        <w:t>(</w:t>
      </w:r>
      <w:r>
        <w:rPr>
          <w:spacing w:val="5"/>
          <w:sz w:val="29"/>
          <w:szCs w:val="29"/>
          <w:u w:val="single" w:color="auto"/>
        </w:rPr>
        <w:t>9.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60万</w:t>
      </w:r>
      <w:r>
        <w:rPr>
          <w:spacing w:val="5"/>
          <w:sz w:val="29"/>
          <w:szCs w:val="29"/>
          <w:u w:val="single" w:color="auto"/>
        </w:rPr>
        <w:t xml:space="preserve">)。 </w:t>
      </w:r>
    </w:p>
    <w:p w14:paraId="325FD566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研究开发经费由甲方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一次</w:t>
      </w:r>
      <w:r>
        <w:rPr>
          <w:spacing w:val="-5"/>
          <w:sz w:val="29"/>
          <w:szCs w:val="29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分期或提成</w:t>
      </w:r>
      <w:r>
        <w:rPr>
          <w:spacing w:val="-5"/>
          <w:sz w:val="29"/>
          <w:szCs w:val="29"/>
        </w:rPr>
        <w:t>)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支付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0"/>
          <w:sz w:val="29"/>
          <w:szCs w:val="29"/>
        </w:rPr>
        <w:t>：</w:t>
      </w:r>
    </w:p>
    <w:p w14:paraId="4D81867F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1</w:t>
      </w:r>
      <w:r>
        <w:rPr>
          <w:spacing w:val="20"/>
          <w:sz w:val="29"/>
          <w:szCs w:val="29"/>
        </w:rPr>
        <w:t>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项目签订协议后</w:t>
      </w:r>
      <w:r>
        <w:rPr>
          <w:spacing w:val="20"/>
          <w:sz w:val="29"/>
          <w:szCs w:val="29"/>
          <w:u w:val="single" w:color="auto"/>
        </w:rPr>
        <w:t>，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支付乙方人民币</w:t>
      </w:r>
      <w:r>
        <w:rPr>
          <w:spacing w:val="20"/>
          <w:sz w:val="29"/>
          <w:szCs w:val="29"/>
          <w:u w:val="single" w:color="auto"/>
        </w:rPr>
        <w:t>伍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万元</w:t>
      </w:r>
      <w:r>
        <w:rPr>
          <w:spacing w:val="20"/>
          <w:sz w:val="29"/>
          <w:szCs w:val="29"/>
          <w:u w:val="single" w:color="auto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20"/>
          <w:sz w:val="29"/>
          <w:szCs w:val="29"/>
          <w:u w:val="single" w:color="auto"/>
        </w:rPr>
        <w:t>.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0"/>
          <w:sz w:val="29"/>
          <w:szCs w:val="29"/>
          <w:u w:val="single" w:color="auto"/>
        </w:rPr>
        <w:t>):</w:t>
      </w:r>
    </w:p>
    <w:p w14:paraId="76E3FDCF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2</w:t>
      </w:r>
      <w:r>
        <w:rPr>
          <w:spacing w:val="3"/>
          <w:sz w:val="29"/>
          <w:szCs w:val="29"/>
        </w:rPr>
        <w:t xml:space="preserve">) </w:t>
      </w:r>
      <w:r>
        <w:rPr>
          <w:spacing w:val="3"/>
          <w:sz w:val="29"/>
          <w:szCs w:val="29"/>
          <w:u w:val="single" w:color="auto"/>
        </w:rPr>
        <w:t>剩余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经费的支付时间约定为研究成果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交付后的10个工作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日</w:t>
      </w:r>
      <w:r>
        <w:rPr>
          <w:spacing w:val="-3"/>
          <w:sz w:val="29"/>
          <w:szCs w:val="29"/>
          <w:u w:val="single" w:color="auto"/>
        </w:rPr>
        <w:t>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3"/>
          <w:sz w:val="29"/>
          <w:szCs w:val="29"/>
          <w:u w:val="single" w:color="auto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另根据项目进展情况双方共同确定是否追加经费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乙方开户银行名称</w:t>
      </w:r>
      <w:r>
        <w:rPr>
          <w:spacing w:val="-11"/>
          <w:sz w:val="29"/>
          <w:szCs w:val="29"/>
        </w:rPr>
        <w:t>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地址和账号为</w:t>
      </w:r>
      <w:r>
        <w:rPr>
          <w:spacing w:val="-11"/>
          <w:sz w:val="29"/>
          <w:szCs w:val="29"/>
        </w:rPr>
        <w:t>：</w:t>
      </w:r>
    </w:p>
    <w:p w14:paraId="220F860B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账户名称</w:t>
      </w:r>
      <w:r>
        <w:rPr>
          <w:spacing w:val="-20"/>
          <w:sz w:val="29"/>
          <w:szCs w:val="29"/>
        </w:rPr>
        <w:t>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开户银行</w:t>
      </w:r>
      <w:r>
        <w:rPr>
          <w:spacing w:val="-7"/>
          <w:sz w:val="29"/>
          <w:szCs w:val="29"/>
        </w:rPr>
        <w:t>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position w:val="1"/>
          <w:sz w:val="29"/>
          <w:szCs w:val="29"/>
          <w:highlight w:val="yellow"/>
          <w:lang w:eastAsia="zh-CN"/>
        </w:rPr>
        <w:t>地址</w:t>
      </w:r>
      <w:r>
        <w:rPr>
          <w:spacing w:val="-14"/>
          <w:position w:val="1"/>
          <w:sz w:val="29"/>
          <w:szCs w:val="29"/>
        </w:rPr>
        <w:t>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7"/>
          <w:position w:val="2"/>
          <w:sz w:val="29"/>
          <w:szCs w:val="29"/>
          <w:highlight w:val="yellow"/>
          <w:lang w:eastAsia="zh-CN"/>
        </w:rPr>
        <w:t>账号</w:t>
      </w:r>
      <w:r>
        <w:rPr>
          <w:spacing w:val="-7"/>
          <w:position w:val="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hint="eastAsia" w:ascii="Times New Roman" w:hAnsi="Times New Roman" w:cs="Times New Roman"/>
          <w:b/>
          <w:spacing w:val="-7"/>
          <w:sz w:val="37"/>
          <w:szCs w:val="37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rFonts w:hint="eastAsia"/>
          <w:b/>
          <w:sz w:val="29"/>
          <w:szCs w:val="29"/>
          <w:highlight w:val="yellow"/>
          <w:lang w:eastAsia="zh-CN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本合同的研究开发经费由乙方以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全权支配</w:t>
      </w:r>
      <w:r>
        <w:rPr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使用</w:t>
      </w:r>
      <w:r>
        <w:rPr>
          <w:spacing w:val="-1"/>
          <w:sz w:val="29"/>
          <w:szCs w:val="29"/>
        </w:rPr>
        <w:t>。</w:t>
      </w:r>
    </w:p>
    <w:p w14:paraId="56076B06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第七条</w:t>
      </w:r>
      <w:r>
        <w:rPr>
          <w:spacing w:val="-15"/>
          <w:sz w:val="29"/>
          <w:szCs w:val="29"/>
        </w:rPr>
        <w:t xml:space="preserve"> 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本合同的变更必须由双方协商一致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确定</w:t>
      </w:r>
      <w:r>
        <w:rPr>
          <w:spacing w:val="-16"/>
          <w:sz w:val="29"/>
          <w:szCs w:val="29"/>
        </w:rPr>
        <w:t>。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一方可以向另一方提出变更合同权利与义务的请求</w:t>
      </w:r>
      <w:r>
        <w:rPr>
          <w:spacing w:val="-18"/>
          <w:sz w:val="29"/>
          <w:szCs w:val="29"/>
        </w:rPr>
        <w:t>，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另一方应当在</w:t>
      </w:r>
      <w:r>
        <w:rPr>
          <w:rFonts w:hint="eastAsia" w:ascii="Times New Roman" w:hAnsi="Times New Roman" w:cs="Times New Roman"/>
          <w:b/>
          <w:spacing w:val="-14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日内予以答复</w:t>
      </w:r>
      <w:r>
        <w:rPr>
          <w:spacing w:val="-14"/>
          <w:sz w:val="29"/>
          <w:szCs w:val="29"/>
        </w:rPr>
        <w:t>；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逾期未予答复的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视为同意</w:t>
      </w:r>
      <w:r>
        <w:rPr>
          <w:spacing w:val="-14"/>
          <w:sz w:val="29"/>
          <w:szCs w:val="29"/>
        </w:rPr>
        <w:t>：</w:t>
      </w:r>
    </w:p>
    <w:p w14:paraId="10ABB014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</w:t>
      </w:r>
      <w:r>
        <w:rPr>
          <w:spacing w:val="-11"/>
          <w:sz w:val="29"/>
          <w:szCs w:val="29"/>
        </w:rPr>
        <w:t xml:space="preserve"> 发 生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不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5AD1AA70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1A5BF452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第八条未经甲方同意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乙方不得将本合同项目部分或全部研究</w:t>
      </w:r>
      <w:r>
        <w:rPr>
          <w:spacing w:val="-2"/>
          <w:sz w:val="29"/>
          <w:szCs w:val="29"/>
        </w:rPr>
        <w:t>开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工作转让第三人承担</w:t>
      </w:r>
      <w:r>
        <w:rPr>
          <w:spacing w:val="-12"/>
          <w:sz w:val="29"/>
          <w:szCs w:val="29"/>
        </w:rPr>
        <w:t>。</w:t>
      </w:r>
    </w:p>
    <w:p w14:paraId="51A979E4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因出现在现有技术水平和条件下</w:t>
      </w:r>
      <w:r>
        <w:rPr>
          <w:spacing w:val="-2"/>
          <w:sz w:val="29"/>
          <w:szCs w:val="29"/>
        </w:rPr>
        <w:t>难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以</w:t>
      </w:r>
      <w:r>
        <w:rPr>
          <w:spacing w:val="-2"/>
          <w:sz w:val="29"/>
          <w:szCs w:val="29"/>
        </w:rPr>
        <w:t>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的技术困难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导致研究开发失败或部分失败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风险损失由甲方承担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乙方不予</w:t>
      </w:r>
      <w:r>
        <w:rPr>
          <w:spacing w:val="-12"/>
          <w:sz w:val="29"/>
          <w:szCs w:val="29"/>
        </w:rPr>
        <w:t>退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还</w:t>
      </w:r>
      <w:r>
        <w:rPr>
          <w:spacing w:val="-12"/>
          <w:sz w:val="29"/>
          <w:szCs w:val="29"/>
        </w:rPr>
        <w:t>；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甲方不再支付</w:t>
      </w:r>
      <w:r>
        <w:rPr>
          <w:spacing w:val="-12"/>
          <w:sz w:val="29"/>
          <w:szCs w:val="29"/>
        </w:rPr>
        <w:t>。</w:t>
      </w:r>
    </w:p>
    <w:p w14:paraId="32CE3BB4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双方确定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本合同项目的技术风险按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当事人约定</w:t>
      </w:r>
      <w:r>
        <w:rPr>
          <w:spacing w:val="2"/>
          <w:sz w:val="29"/>
          <w:szCs w:val="29"/>
          <w:u w:val="single" w:color="auto"/>
        </w:rPr>
        <w:t>几名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专家确认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的方式认定</w:t>
      </w:r>
      <w:r>
        <w:rPr>
          <w:spacing w:val="-18"/>
          <w:sz w:val="29"/>
          <w:szCs w:val="29"/>
        </w:rPr>
        <w:t>。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认定技术风险的基本内容应当包括技术风险的存在</w:t>
      </w:r>
      <w:r>
        <w:rPr>
          <w:spacing w:val="-18"/>
          <w:sz w:val="29"/>
          <w:szCs w:val="29"/>
        </w:rPr>
        <w:t>、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范围</w:t>
      </w:r>
      <w:r>
        <w:rPr>
          <w:spacing w:val="-18"/>
          <w:sz w:val="29"/>
          <w:szCs w:val="29"/>
        </w:rPr>
        <w:t>、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程度及损失大小等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认定技术风险的基本条件是</w:t>
      </w:r>
      <w:r>
        <w:rPr>
          <w:spacing w:val="-13"/>
          <w:sz w:val="29"/>
          <w:szCs w:val="29"/>
        </w:rPr>
        <w:t>：</w:t>
      </w:r>
    </w:p>
    <w:p w14:paraId="120A7229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4"/>
          <w:sz w:val="29"/>
          <w:szCs w:val="29"/>
          <w:u w:val="single" w:color="auto"/>
        </w:rPr>
        <w:t>.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本合同项目在现有技术水平条件下具有足够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的难度</w:t>
      </w:r>
      <w:r>
        <w:rPr>
          <w:spacing w:val="13"/>
          <w:sz w:val="29"/>
          <w:szCs w:val="29"/>
          <w:u w:val="single" w:color="auto"/>
        </w:rPr>
        <w:t>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乙方在主观上无过错且经认定研究开发失败为合理的失败</w:t>
      </w:r>
      <w:r>
        <w:rPr>
          <w:sz w:val="29"/>
          <w:szCs w:val="29"/>
          <w:u w:val="single" w:color="auto"/>
        </w:rPr>
        <w:t>。</w:t>
      </w:r>
    </w:p>
    <w:p w14:paraId="126F4E64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一方发现技术风险存在并有可能致使研究开发失败或部分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失败的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情形时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日内通知另一方并采取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适当措施减少损失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通知并未采取适当措施而致使损失扩大的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应当就扩大的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损失承担赔偿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108C4FED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因作为研究开发标的的技术已经由他人</w:t>
      </w:r>
      <w:r>
        <w:rPr>
          <w:spacing w:val="-12"/>
          <w:sz w:val="29"/>
          <w:szCs w:val="29"/>
        </w:rPr>
        <w:t>公</w:t>
      </w:r>
      <w:r>
        <w:rPr>
          <w:spacing w:val="6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开(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包括以专利权方式公开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日内通知另一方解除合同</w:t>
      </w:r>
      <w:r>
        <w:rPr>
          <w:spacing w:val="-5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逾期未通知并致使另一方产生损失的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另一方有权要求予以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赔偿</w:t>
      </w:r>
      <w:r>
        <w:rPr>
          <w:spacing w:val="-19"/>
          <w:sz w:val="29"/>
          <w:szCs w:val="29"/>
        </w:rPr>
        <w:t>。</w:t>
      </w:r>
    </w:p>
    <w:p w14:paraId="28576A31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第十一条双方确定因履行本合同应遵守的保密义务如下</w:t>
      </w:r>
      <w:r>
        <w:rPr>
          <w:spacing w:val="-2"/>
          <w:sz w:val="29"/>
          <w:szCs w:val="29"/>
        </w:rPr>
        <w:t>：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542140DA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1</w:t>
      </w:r>
      <w:r>
        <w:rPr>
          <w:spacing w:val="8"/>
          <w:sz w:val="29"/>
          <w:szCs w:val="29"/>
        </w:rPr>
        <w:t>.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保密内容</w:t>
      </w:r>
      <w:r>
        <w:rPr>
          <w:spacing w:val="8"/>
          <w:sz w:val="29"/>
          <w:szCs w:val="29"/>
        </w:rPr>
        <w:t>(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8"/>
          <w:sz w:val="29"/>
          <w:szCs w:val="29"/>
        </w:rPr>
        <w:t>):直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流无刷电机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驱动及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58446AA0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25389776">
      <w:pPr>
        <w:pStyle w:val="2"/>
        <w:spacing w:before="180" w:line="225" w:lineRule="auto"/>
        <w:ind w:left="74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2</w:t>
      </w:r>
      <w:r>
        <w:rPr>
          <w:spacing w:val="29"/>
          <w:sz w:val="29"/>
          <w:szCs w:val="29"/>
        </w:rPr>
        <w:t>.</w:t>
      </w: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涉密人员范围</w:t>
      </w:r>
      <w:r>
        <w:rPr>
          <w:spacing w:val="29"/>
          <w:sz w:val="29"/>
          <w:szCs w:val="29"/>
        </w:rPr>
        <w:t>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甲方项目负责人及项目组成员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29"/>
          <w:sz w:val="7"/>
          <w:szCs w:val="7"/>
          <w:highlight w:val="yellow"/>
          <w:lang w:eastAsia="zh-CN"/>
        </w:rPr>
        <w:t>0</w:t>
      </w:r>
    </w:p>
    <w:p w14:paraId="2EDC1BF4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0FEC91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保密</w:t>
      </w:r>
      <w:r>
        <w:rPr>
          <w:sz w:val="29"/>
          <w:szCs w:val="29"/>
        </w:rPr>
        <w:t>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z w:val="29"/>
          <w:szCs w:val="29"/>
          <w:u w:val="single" w:color="auto"/>
        </w:rPr>
        <w:t xml:space="preserve">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70ACC6D7">
      <w:pPr>
        <w:spacing w:line="303" w:lineRule="auto"/>
        <w:rPr>
          <w:rFonts w:ascii="Arial"/>
          <w:sz w:val="21"/>
        </w:rPr>
      </w:pPr>
    </w:p>
    <w:p w14:paraId="338D4941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</w:t>
      </w:r>
      <w:r>
        <w:rPr>
          <w:spacing w:val="22"/>
          <w:sz w:val="29"/>
          <w:szCs w:val="29"/>
        </w:rPr>
        <w:t>.泄密</w:t>
      </w: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责任</w:t>
      </w:r>
      <w:r>
        <w:rPr>
          <w:spacing w:val="22"/>
          <w:sz w:val="29"/>
          <w:szCs w:val="29"/>
        </w:rPr>
        <w:t>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赔偿乙方本技术开发合同金额30</w:t>
      </w:r>
      <w:r>
        <w:rPr>
          <w:spacing w:val="22"/>
          <w:sz w:val="29"/>
          <w:szCs w:val="29"/>
          <w:u w:val="single" w:color="auto"/>
        </w:rPr>
        <w:t>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07E3B019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rFonts w:hint="eastAsia"/>
          <w:b/>
          <w:i/>
          <w:iCs/>
          <w:spacing w:val="-29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9"/>
          <w:sz w:val="30"/>
          <w:szCs w:val="30"/>
        </w:rPr>
        <w:t>：</w:t>
      </w:r>
    </w:p>
    <w:p w14:paraId="5EED5A80">
      <w:pPr>
        <w:pStyle w:val="2"/>
        <w:spacing w:before="317" w:line="219" w:lineRule="auto"/>
        <w:jc w:val="right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保密内容</w:t>
      </w: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3"/>
          <w:sz w:val="29"/>
          <w:szCs w:val="29"/>
        </w:rPr>
        <w:t xml:space="preserve">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流无刷电机驱动</w:t>
      </w:r>
    </w:p>
    <w:p w14:paraId="32C3F5A8">
      <w:pPr>
        <w:pStyle w:val="2"/>
        <w:spacing w:before="248" w:line="219" w:lineRule="auto"/>
        <w:ind w:left="56"/>
        <w:rPr>
          <w:rFonts w:hint="eastAsia" w:ascii="Times New Roman" w:hAnsi="Times New Roman" w:eastAsia="宋体" w:cs="Times New Roman"/>
          <w:sz w:val="29"/>
          <w:szCs w:val="29"/>
          <w:lang w:eastAsia="zh-CN"/>
        </w:rPr>
      </w:pP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18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18"/>
          <w:sz w:val="29"/>
          <w:szCs w:val="29"/>
          <w:highlight w:val="yellow"/>
          <w:lang w:eastAsia="zh-CN"/>
        </w:rPr>
        <w:t>o</w:t>
      </w:r>
    </w:p>
    <w:p w14:paraId="34B9AC3C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2</w:t>
      </w:r>
      <w:r>
        <w:rPr>
          <w:spacing w:val="-18"/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方</w:t>
      </w:r>
      <w:r>
        <w:rPr>
          <w:spacing w:val="-18"/>
          <w:sz w:val="24"/>
          <w:szCs w:val="24"/>
          <w:u w:val="single" w:color="auto"/>
        </w:rPr>
        <w:t xml:space="preserve">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0A9147F3">
      <w:pPr>
        <w:spacing w:before="22" w:line="48" w:lineRule="exact"/>
        <w:ind w:left="793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 w:ascii="Times New Roman" w:hAnsi="Times New Roman" w:eastAsia="宋体" w:cs="Times New Roman"/>
          <w:b/>
          <w:sz w:val="7"/>
          <w:szCs w:val="7"/>
          <w:highlight w:val="yellow"/>
          <w:lang w:eastAsia="zh-CN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60188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20E2BF15">
          <w:pPr>
            <w:pStyle w:val="2"/>
            <w:spacing w:before="177" w:line="217" w:lineRule="auto"/>
            <w:ind w:left="746"/>
            <w:rPr>
              <w:rFonts w:hint="eastAsia" w:ascii="Times New Roman" w:hAnsi="Times New Roman" w:eastAsia="宋体" w:cs="Times New Roman"/>
              <w:sz w:val="14"/>
              <w:szCs w:val="14"/>
              <w:lang w:eastAsia="zh-CN"/>
            </w:rPr>
          </w:pP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3</w:t>
          </w:r>
          <w:r>
            <w:rPr>
              <w:spacing w:val="-4"/>
              <w:position w:val="4"/>
              <w:sz w:val="29"/>
              <w:szCs w:val="29"/>
            </w:rPr>
            <w:t xml:space="preserve">.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保密</w:t>
          </w:r>
          <w:r>
            <w:rPr>
              <w:spacing w:val="-4"/>
              <w:position w:val="4"/>
              <w:sz w:val="29"/>
              <w:szCs w:val="29"/>
            </w:rPr>
            <w:t>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年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                            </w:t>
          </w:r>
          <w:r>
            <w:rPr>
              <w:rFonts w:hint="eastAsia" w:ascii="Times New Roman" w:hAnsi="Times New Roman" w:cs="Times New Roman"/>
              <w:b/>
              <w:spacing w:val="-4"/>
              <w:sz w:val="14"/>
              <w:szCs w:val="14"/>
              <w:highlight w:val="yellow"/>
              <w:u w:val="single" w:color="auto"/>
              <w:lang w:eastAsia="zh-CN"/>
            </w:rPr>
            <w:t>0</w:t>
          </w:r>
        </w:p>
        <w:p w14:paraId="64A30502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4</w:t>
          </w:r>
          <w:r>
            <w:rPr>
              <w:spacing w:val="24"/>
              <w:sz w:val="29"/>
              <w:szCs w:val="29"/>
            </w:rPr>
            <w:t>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责任</w:t>
          </w:r>
          <w:r>
            <w:rPr>
              <w:spacing w:val="24"/>
              <w:sz w:val="29"/>
              <w:szCs w:val="29"/>
            </w:rPr>
            <w:t>：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赔偿甲方本技术开发合同金额30</w:t>
          </w:r>
          <w:r>
            <w:rPr>
              <w:spacing w:val="24"/>
              <w:sz w:val="29"/>
              <w:szCs w:val="29"/>
              <w:u w:val="single" w:color="auto"/>
            </w:rPr>
            <w:t xml:space="preserve">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6AF93306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第十二条乙方应当按以下方式向甲方交付研究开发成果</w:t>
      </w:r>
      <w:r>
        <w:rPr>
          <w:spacing w:val="-1"/>
          <w:sz w:val="29"/>
          <w:szCs w:val="29"/>
        </w:rPr>
        <w:t>：</w:t>
      </w:r>
    </w:p>
    <w:p w14:paraId="1F07E9D6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研究开发成果交付的形式及数量</w:t>
      </w:r>
      <w:r>
        <w:rPr>
          <w:spacing w:val="-11"/>
          <w:sz w:val="29"/>
          <w:szCs w:val="29"/>
        </w:rPr>
        <w:t>：</w:t>
      </w:r>
      <w:r>
        <w:rPr>
          <w:spacing w:val="-11"/>
          <w:sz w:val="29"/>
          <w:szCs w:val="29"/>
          <w:u w:val="single" w:color="auto"/>
        </w:rPr>
        <w:t>直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11"/>
          <w:sz w:val="29"/>
          <w:szCs w:val="29"/>
          <w:u w:val="single" w:color="auto"/>
        </w:rPr>
        <w:t>锂电协</w:t>
      </w:r>
    </w:p>
    <w:p w14:paraId="51068F2B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546E2D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36405DC3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研究开发成果交付的时间及地点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2022年</w:t>
      </w:r>
      <w:r>
        <w:rPr>
          <w:spacing w:val="42"/>
          <w:sz w:val="29"/>
          <w:szCs w:val="29"/>
          <w:u w:val="single" w:color="auto"/>
        </w:rPr>
        <w:t>7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月30日在甲方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所在地提交</w:t>
      </w:r>
      <w:r>
        <w:rPr>
          <w:spacing w:val="-7"/>
          <w:sz w:val="29"/>
          <w:szCs w:val="29"/>
        </w:rPr>
        <w:t>。</w:t>
      </w:r>
    </w:p>
    <w:p w14:paraId="725F7F57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第十三条双方确定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按以下标准及方法对乙方完成的研究开发</w:t>
      </w:r>
      <w:r>
        <w:rPr>
          <w:spacing w:val="-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进行验收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直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流无刷电机驱动及</w:t>
      </w:r>
      <w:r>
        <w:rPr>
          <w:spacing w:val="-12"/>
          <w:sz w:val="29"/>
          <w:szCs w:val="29"/>
          <w:u w:val="single" w:color="auto"/>
        </w:rPr>
        <w:t>锂电协同管理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该系统满足本</w:t>
      </w:r>
      <w:r>
        <w:rPr>
          <w:spacing w:val="-12"/>
          <w:sz w:val="29"/>
          <w:szCs w:val="29"/>
          <w:u w:val="single" w:color="auto"/>
        </w:rPr>
        <w:t>合</w:t>
      </w:r>
    </w:p>
    <w:p w14:paraId="0A03D527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7978C1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第 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术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容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相 关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49EFE08A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第十四条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乙方应当保证其交付给甲方的研究开发成果不侵犯任何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第三人的合法权益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如发生第三人指控甲方实施的技术侵权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乙方应当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协助处</w:t>
      </w:r>
      <w:r>
        <w:rPr>
          <w:spacing w:val="15"/>
          <w:sz w:val="29"/>
          <w:szCs w:val="29"/>
          <w:u w:val="single" w:color="auto"/>
        </w:rPr>
        <w:t>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并赔偿甲方本技术开发合同金额30</w:t>
      </w:r>
      <w:r>
        <w:rPr>
          <w:spacing w:val="15"/>
          <w:sz w:val="29"/>
          <w:szCs w:val="29"/>
          <w:u w:val="single" w:color="auto"/>
        </w:rPr>
        <w:t xml:space="preserve">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7AFE9A6E">
      <w:pPr>
        <w:pStyle w:val="2"/>
        <w:spacing w:before="76" w:line="407" w:lineRule="auto"/>
        <w:ind w:left="56" w:right="2" w:firstLine="560"/>
        <w:jc w:val="both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第十五条双方确定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因履行本合同所产生的研究开发成果及其</w:t>
      </w:r>
      <w:r>
        <w:rPr>
          <w:spacing w:val="-2"/>
          <w:sz w:val="29"/>
          <w:szCs w:val="29"/>
        </w:rPr>
        <w:t>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知识产权约定</w:t>
      </w:r>
      <w:r>
        <w:rPr>
          <w:spacing w:val="-12"/>
          <w:sz w:val="29"/>
          <w:szCs w:val="29"/>
        </w:rPr>
        <w:t>：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专利申请甲方作为权利权益人</w:t>
      </w:r>
      <w:r>
        <w:rPr>
          <w:spacing w:val="-12"/>
          <w:sz w:val="29"/>
          <w:szCs w:val="29"/>
          <w:u w:val="single" w:color="auto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论文发表的权力权益</w:t>
      </w:r>
    </w:p>
    <w:p w14:paraId="3CCDA85A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4A0F8AB1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3"/>
          <w:sz w:val="29"/>
          <w:szCs w:val="29"/>
          <w:u w:val="single" w:color="auto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论文发表公开日期不能早于专利申请日期</w:t>
      </w:r>
      <w:r>
        <w:rPr>
          <w:spacing w:val="-13"/>
          <w:sz w:val="29"/>
          <w:szCs w:val="29"/>
          <w:u w:val="single" w:color="auto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任何一方若违反上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内容应承担本技术开发合同金额的30</w:t>
      </w:r>
      <w:r>
        <w:rPr>
          <w:spacing w:val="-6"/>
          <w:sz w:val="29"/>
          <w:szCs w:val="29"/>
          <w:u w:val="single" w:color="auto"/>
        </w:rPr>
        <w:t>%。</w:t>
      </w:r>
    </w:p>
    <w:p w14:paraId="45911B3E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第十六条乙方不得在向甲方交付研究开发成果之前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自行将研究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开发成果转让给第三人</w:t>
      </w:r>
      <w:r>
        <w:rPr>
          <w:spacing w:val="-12"/>
          <w:sz w:val="29"/>
          <w:szCs w:val="29"/>
        </w:rPr>
        <w:t>。</w:t>
      </w:r>
    </w:p>
    <w:p w14:paraId="380F3DDD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第十七条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乙方完成本合同项目的研究开发人员享有在有关技术</w:t>
      </w:r>
      <w:r>
        <w:rPr>
          <w:spacing w:val="-1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文件上写明技术成果完成者的权利和取得有关荣誉证书</w:t>
      </w:r>
      <w:r>
        <w:rPr>
          <w:spacing w:val="-17"/>
          <w:sz w:val="29"/>
          <w:szCs w:val="29"/>
        </w:rPr>
        <w:t>、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奖励的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。</w:t>
      </w:r>
    </w:p>
    <w:p w14:paraId="52A65ADB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第十八条</w:t>
      </w:r>
      <w:r>
        <w:rPr>
          <w:spacing w:val="-5"/>
          <w:position w:val="2"/>
          <w:sz w:val="29"/>
          <w:szCs w:val="29"/>
        </w:rPr>
        <w:t xml:space="preserve"> 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乙方利用研究开发经费所购置与研究开发工作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设备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器材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资料等财产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归乙方所有</w:t>
      </w:r>
      <w:r>
        <w:rPr>
          <w:spacing w:val="-12"/>
          <w:sz w:val="29"/>
          <w:szCs w:val="29"/>
        </w:rPr>
        <w:t>。</w:t>
      </w:r>
    </w:p>
    <w:p w14:paraId="75842C65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第十九条双方确定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乙方应在向甲方交付研究开发成果后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根据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甲方的请求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为甲方指定的人员提供技术指导和培训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或提供与使用该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研究开发成果相关的技术服务</w:t>
      </w:r>
      <w:r>
        <w:rPr>
          <w:spacing w:val="-12"/>
          <w:sz w:val="29"/>
          <w:szCs w:val="29"/>
        </w:rPr>
        <w:t>。</w:t>
      </w:r>
    </w:p>
    <w:p w14:paraId="0A09F5B7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.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技术服务和指导内容</w:t>
      </w:r>
      <w:r>
        <w:rPr>
          <w:spacing w:val="-11"/>
          <w:sz w:val="29"/>
          <w:szCs w:val="29"/>
        </w:rPr>
        <w:t>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 xml:space="preserve">导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2</w:t>
      </w:r>
      <w:r>
        <w:rPr>
          <w:spacing w:val="28"/>
          <w:sz w:val="29"/>
          <w:szCs w:val="29"/>
        </w:rPr>
        <w:t>: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地点和方式</w:t>
      </w:r>
      <w:r>
        <w:rPr>
          <w:spacing w:val="28"/>
          <w:sz w:val="29"/>
          <w:szCs w:val="29"/>
          <w:u w:val="single" w:color="auto"/>
        </w:rPr>
        <w:t>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由乙方指派专业人员对甲方进行</w:t>
      </w:r>
      <w:r>
        <w:rPr>
          <w:rFonts w:hint="eastAsia"/>
          <w:b/>
          <w:spacing w:val="27"/>
          <w:sz w:val="29"/>
          <w:szCs w:val="29"/>
          <w:highlight w:val="yellow"/>
          <w:u w:val="single" w:color="auto"/>
          <w:lang w:eastAsia="zh-CN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3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费用及支付方式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 xml:space="preserve">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241E6B82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任何一方违反本合同约定的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按以下约定</w:t>
      </w:r>
      <w:r>
        <w:rPr>
          <w:spacing w:val="-2"/>
          <w:sz w:val="29"/>
          <w:szCs w:val="29"/>
        </w:rPr>
        <w:t>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违约责任</w:t>
      </w:r>
      <w:r>
        <w:rPr>
          <w:spacing w:val="-15"/>
          <w:sz w:val="29"/>
          <w:szCs w:val="29"/>
        </w:rPr>
        <w:t>：</w:t>
      </w:r>
    </w:p>
    <w:p w14:paraId="1F3F6C99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10"/>
          <w:sz w:val="29"/>
          <w:szCs w:val="29"/>
        </w:rPr>
        <w:t xml:space="preserve">.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乙方有权暂停项目开发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直至甲方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提供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因甲方未提供技术资料或提供的技术资料存在缺陷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工作停滞</w:t>
      </w:r>
      <w:r>
        <w:rPr>
          <w:spacing w:val="-11"/>
          <w:sz w:val="29"/>
          <w:szCs w:val="29"/>
        </w:rPr>
        <w:t>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延误或失败的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乙方不予退还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甲方应如数支付</w:t>
      </w:r>
      <w:r>
        <w:rPr>
          <w:spacing w:val="-11"/>
          <w:sz w:val="29"/>
          <w:szCs w:val="29"/>
        </w:rPr>
        <w:t>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</w:t>
      </w:r>
      <w:r>
        <w:rPr>
          <w:spacing w:val="7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乙方有权解除合同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终止开发工作</w:t>
      </w:r>
      <w:r>
        <w:rPr>
          <w:spacing w:val="-13"/>
          <w:sz w:val="29"/>
          <w:szCs w:val="29"/>
        </w:rPr>
        <w:t>。</w:t>
      </w:r>
    </w:p>
    <w:p w14:paraId="261F91B1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因甲方未按约协助乙方开展研发工作</w:t>
      </w:r>
      <w:r>
        <w:rPr>
          <w:spacing w:val="-5"/>
          <w:sz w:val="29"/>
          <w:szCs w:val="29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致使开发工作停滞</w:t>
      </w:r>
      <w:r>
        <w:rPr>
          <w:spacing w:val="-5"/>
          <w:sz w:val="29"/>
          <w:szCs w:val="29"/>
        </w:rPr>
        <w:t>、延</w:t>
      </w:r>
    </w:p>
    <w:p w14:paraId="6A620F1A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65972FDA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或失败的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1"/>
          <w:sz w:val="29"/>
          <w:szCs w:val="29"/>
        </w:rPr>
        <w:t>，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乙方不予退还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甲方应如数支付</w:t>
      </w:r>
      <w:r>
        <w:rPr>
          <w:spacing w:val="-11"/>
          <w:sz w:val="29"/>
          <w:szCs w:val="29"/>
        </w:rPr>
        <w:t>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同时乙方有权解除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终止开发工作</w:t>
      </w:r>
      <w:r>
        <w:rPr>
          <w:spacing w:val="-14"/>
          <w:sz w:val="29"/>
          <w:szCs w:val="29"/>
        </w:rPr>
        <w:t>。</w:t>
      </w:r>
    </w:p>
    <w:p w14:paraId="7C5C9B0B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3</w:t>
      </w:r>
      <w:r>
        <w:rPr>
          <w:spacing w:val="-12"/>
          <w:sz w:val="29"/>
          <w:szCs w:val="29"/>
        </w:rPr>
        <w:t>.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甲方未按约如期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如数支付项目开发经费或报酬的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除应如数</w:t>
      </w:r>
      <w:r>
        <w:rPr>
          <w:spacing w:val="-12"/>
          <w:sz w:val="29"/>
          <w:szCs w:val="29"/>
        </w:rPr>
        <w:t>足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额补交外</w:t>
      </w:r>
      <w:r>
        <w:rPr>
          <w:spacing w:val="-6"/>
          <w:sz w:val="29"/>
          <w:szCs w:val="29"/>
        </w:rPr>
        <w:t>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每日还应按拖欠金额的万分之</w:t>
      </w:r>
      <w:r>
        <w:rPr>
          <w:spacing w:val="-66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向乙方计交违约金</w:t>
      </w:r>
      <w:r>
        <w:rPr>
          <w:spacing w:val="-7"/>
          <w:sz w:val="29"/>
          <w:szCs w:val="29"/>
        </w:rPr>
        <w:t>。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拖欠开发经费或开发报酬的金额超过人民币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元</w:t>
      </w:r>
      <w:r>
        <w:rPr>
          <w:spacing w:val="-11"/>
          <w:sz w:val="29"/>
          <w:szCs w:val="29"/>
        </w:rPr>
        <w:t>(注</w:t>
      </w:r>
      <w:r>
        <w:rPr>
          <w:spacing w:val="-12"/>
          <w:sz w:val="29"/>
          <w:szCs w:val="29"/>
        </w:rPr>
        <w:t>：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也可约定</w:t>
      </w:r>
      <w:r>
        <w:rPr>
          <w:spacing w:val="-12"/>
          <w:sz w:val="29"/>
          <w:szCs w:val="29"/>
        </w:rPr>
        <w:t>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的比例</w:t>
      </w:r>
      <w:r>
        <w:rPr>
          <w:spacing w:val="-3"/>
          <w:sz w:val="29"/>
          <w:szCs w:val="29"/>
        </w:rPr>
        <w:t>)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或拖欠时间超过约定</w:t>
      </w:r>
      <w:r>
        <w:rPr>
          <w:rFonts w:hint="eastAsia" w:ascii="Times New Roman" w:hAnsi="Times New Roman" w:cs="Times New Roman"/>
          <w:b/>
          <w:spacing w:val="-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日的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乙方有权解除合同</w:t>
      </w:r>
      <w:r>
        <w:rPr>
          <w:spacing w:val="-4"/>
          <w:sz w:val="29"/>
          <w:szCs w:val="29"/>
        </w:rPr>
        <w:t>；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此种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情形下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甲方已支付的款项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乙方不予返还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未支付的款项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。</w:t>
      </w:r>
    </w:p>
    <w:p w14:paraId="650CB105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乙方未按约定进度交付开发成果的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应按逾期部分开发报酬每日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万分之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向甲方计交违约金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如逾期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超过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日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甲方有权解除</w:t>
      </w:r>
      <w:r>
        <w:rPr>
          <w:spacing w:val="-11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同时要求乙方退还已支付的开发报酬</w:t>
      </w:r>
      <w:r>
        <w:rPr>
          <w:spacing w:val="-12"/>
          <w:sz w:val="29"/>
          <w:szCs w:val="29"/>
        </w:rPr>
        <w:t>。</w:t>
      </w:r>
    </w:p>
    <w:p w14:paraId="50C54094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5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如乙方交付的开发成果存在瑕疵</w:t>
      </w:r>
      <w:r>
        <w:rPr>
          <w:spacing w:val="-6"/>
          <w:sz w:val="29"/>
          <w:szCs w:val="29"/>
        </w:rPr>
        <w:t>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乙方应当负责改进</w:t>
      </w:r>
      <w:r>
        <w:rPr>
          <w:spacing w:val="-6"/>
          <w:sz w:val="29"/>
          <w:szCs w:val="29"/>
        </w:rPr>
        <w:t>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如项目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开发成果存在严重问题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致使甲方项目开发目的未能实现的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甲方有权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解除合同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乙方应退还甲方已支付的开发报酬</w:t>
      </w:r>
      <w:r>
        <w:rPr>
          <w:spacing w:val="-12"/>
          <w:sz w:val="29"/>
          <w:szCs w:val="29"/>
        </w:rPr>
        <w:t>。</w:t>
      </w:r>
    </w:p>
    <w:p w14:paraId="349A09ED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6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双方若有其他违约情形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造成另一方损失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违约方应予赔偿</w:t>
      </w:r>
      <w:r>
        <w:rPr>
          <w:spacing w:val="-4"/>
          <w:sz w:val="29"/>
          <w:szCs w:val="29"/>
        </w:rPr>
        <w:t>，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同时按损失</w:t>
      </w:r>
      <w:r>
        <w:rPr>
          <w:spacing w:val="-9"/>
          <w:sz w:val="29"/>
          <w:szCs w:val="29"/>
        </w:rPr>
        <w:t>数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额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支付违约金</w:t>
      </w:r>
      <w:r>
        <w:rPr>
          <w:spacing w:val="-9"/>
          <w:sz w:val="29"/>
          <w:szCs w:val="29"/>
        </w:rPr>
        <w:t>。</w:t>
      </w:r>
    </w:p>
    <w:p w14:paraId="68C14AE2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第二十一条甲方在项目成果基础上单独完成的后续改进成果由甲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方享有</w:t>
      </w:r>
      <w:r>
        <w:rPr>
          <w:spacing w:val="-15"/>
          <w:sz w:val="29"/>
          <w:szCs w:val="29"/>
        </w:rPr>
        <w:t>。</w:t>
      </w:r>
    </w:p>
    <w:p w14:paraId="320E16E8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第二十二条双方确定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在本合同有效期内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2"/>
          <w:sz w:val="29"/>
          <w:szCs w:val="29"/>
          <w:highlight w:val="yellow"/>
          <w:u w:val="single" w:color="auto"/>
          <w:lang w:eastAsia="zh-CN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项目</w:t>
      </w:r>
      <w:r>
        <w:rPr>
          <w:spacing w:val="-15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人承担以下责任</w:t>
      </w:r>
      <w:r>
        <w:rPr>
          <w:spacing w:val="-19"/>
          <w:sz w:val="29"/>
          <w:szCs w:val="29"/>
        </w:rPr>
        <w:t>：</w:t>
      </w:r>
    </w:p>
    <w:p w14:paraId="4BEEF005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50B4CBA5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项目执行期间双方任务分配的执行与把控</w:t>
      </w:r>
      <w:r>
        <w:rPr>
          <w:spacing w:val="20"/>
          <w:sz w:val="30"/>
          <w:szCs w:val="30"/>
          <w:u w:val="single" w:color="auto"/>
        </w:rPr>
        <w:t xml:space="preserve">     </w:t>
      </w:r>
    </w:p>
    <w:p w14:paraId="7796C375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一方变更项目联系人的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应当及时以书面形式通知另一方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未及时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通知并影响本合同履行或造成损失的</w:t>
      </w:r>
      <w:r>
        <w:rPr>
          <w:spacing w:val="-19"/>
          <w:sz w:val="30"/>
          <w:szCs w:val="30"/>
        </w:rPr>
        <w:t>，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应承担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相应的责任</w:t>
      </w:r>
      <w:r>
        <w:rPr>
          <w:spacing w:val="-20"/>
          <w:sz w:val="30"/>
          <w:szCs w:val="30"/>
        </w:rPr>
        <w:t>。</w:t>
      </w:r>
    </w:p>
    <w:p w14:paraId="78CD5C5C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第二十三条双方确定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出现下列情形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或不可能的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一方可以通知另一方解除本合同</w:t>
      </w:r>
      <w:r>
        <w:rPr>
          <w:spacing w:val="-21"/>
          <w:sz w:val="30"/>
          <w:szCs w:val="30"/>
        </w:rPr>
        <w:t>；</w:t>
      </w:r>
    </w:p>
    <w:p w14:paraId="0D10D4C0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因发生不可抗力或技术风险</w:t>
      </w:r>
      <w:r>
        <w:rPr>
          <w:spacing w:val="-18"/>
          <w:sz w:val="30"/>
          <w:szCs w:val="30"/>
          <w:u w:val="single" w:color="auto"/>
        </w:rPr>
        <w:t>。</w:t>
      </w:r>
    </w:p>
    <w:p w14:paraId="5A3C8D2E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合同解除后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甲方已支付的开发经费及报酬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乙方不予退还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</w:t>
      </w:r>
      <w:r>
        <w:rPr>
          <w:spacing w:val="-22"/>
          <w:sz w:val="30"/>
          <w:szCs w:val="30"/>
        </w:rPr>
        <w:t>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乙方不再收取</w:t>
      </w:r>
      <w:r>
        <w:rPr>
          <w:spacing w:val="-22"/>
          <w:sz w:val="30"/>
          <w:szCs w:val="30"/>
        </w:rPr>
        <w:t>。</w:t>
      </w:r>
    </w:p>
    <w:p w14:paraId="7F40B98D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第二十四条</w:t>
      </w:r>
      <w:r>
        <w:rPr>
          <w:spacing w:val="-22"/>
          <w:sz w:val="30"/>
          <w:szCs w:val="30"/>
        </w:rPr>
        <w:t>：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双方因履行本合同而发生的争议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应协商解决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协商</w:t>
      </w:r>
      <w:r>
        <w:rPr>
          <w:spacing w:val="15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不成的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双方均有权向乙方所在地的人民法院起诉</w:t>
      </w:r>
      <w:r>
        <w:rPr>
          <w:spacing w:val="-22"/>
          <w:sz w:val="30"/>
          <w:szCs w:val="30"/>
        </w:rPr>
        <w:t>。</w:t>
      </w:r>
    </w:p>
    <w:p w14:paraId="138F8246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第二十五条双方确定</w:t>
      </w:r>
      <w:r>
        <w:rPr>
          <w:spacing w:val="-12"/>
          <w:sz w:val="30"/>
          <w:szCs w:val="30"/>
        </w:rPr>
        <w:t>：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技术术语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其定义和解释如下</w:t>
      </w:r>
      <w:r>
        <w:rPr>
          <w:spacing w:val="-22"/>
          <w:sz w:val="30"/>
          <w:szCs w:val="30"/>
        </w:rPr>
        <w:t>：</w:t>
      </w:r>
    </w:p>
    <w:p w14:paraId="0A6FC1E7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67D959BC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第二十六条与履行本合同有关的下列技术文件</w:t>
      </w:r>
      <w:r>
        <w:rPr>
          <w:spacing w:val="-11"/>
          <w:sz w:val="30"/>
          <w:szCs w:val="30"/>
        </w:rPr>
        <w:t>，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经双方确认后</w:t>
      </w:r>
      <w:r>
        <w:rPr>
          <w:spacing w:val="-11"/>
          <w:sz w:val="30"/>
          <w:szCs w:val="30"/>
        </w:rPr>
        <w:t>，</w:t>
      </w:r>
      <w:r>
        <w:rPr>
          <w:spacing w:val="6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为本合同的组成部分</w:t>
      </w:r>
      <w:r>
        <w:rPr>
          <w:spacing w:val="-24"/>
          <w:sz w:val="30"/>
          <w:szCs w:val="30"/>
        </w:rPr>
        <w:t>：</w:t>
      </w:r>
    </w:p>
    <w:p w14:paraId="32A8780D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1</w:t>
      </w:r>
      <w:r>
        <w:rPr>
          <w:spacing w:val="-10"/>
          <w:sz w:val="30"/>
          <w:szCs w:val="30"/>
        </w:rPr>
        <w:t xml:space="preserve">. </w:t>
      </w: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技术背景资料</w:t>
      </w:r>
      <w:r>
        <w:rPr>
          <w:spacing w:val="-10"/>
          <w:sz w:val="30"/>
          <w:szCs w:val="30"/>
        </w:rPr>
        <w:t>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</w:t>
      </w:r>
      <w:r>
        <w:rPr>
          <w:rFonts w:hint="eastAsia"/>
          <w:b/>
          <w:spacing w:val="-10"/>
          <w:position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   </w:t>
      </w:r>
    </w:p>
    <w:p w14:paraId="517FE0CC">
      <w:pPr>
        <w:pStyle w:val="2"/>
        <w:spacing w:before="274" w:line="374" w:lineRule="auto"/>
        <w:ind w:left="817" w:right="439"/>
      </w:pP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2</w:t>
      </w:r>
      <w:r>
        <w:rPr>
          <w:spacing w:val="-3"/>
          <w:sz w:val="30"/>
          <w:szCs w:val="30"/>
        </w:rPr>
        <w:t>.</w:t>
      </w: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可行性论证报告</w:t>
      </w:r>
      <w:r>
        <w:rPr>
          <w:spacing w:val="-3"/>
          <w:sz w:val="30"/>
          <w:szCs w:val="30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3</w:t>
      </w:r>
      <w:r>
        <w:rPr>
          <w:spacing w:val="1"/>
          <w:sz w:val="30"/>
          <w:szCs w:val="30"/>
        </w:rPr>
        <w:t>.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技术评价报告</w:t>
      </w:r>
      <w:r>
        <w:rPr>
          <w:spacing w:val="1"/>
          <w:sz w:val="30"/>
          <w:szCs w:val="30"/>
        </w:rPr>
        <w:t>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1"/>
          <w:sz w:val="30"/>
          <w:szCs w:val="30"/>
          <w:u w:val="single" w:color="auto"/>
        </w:rPr>
        <w:t xml:space="preserve">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4</w:t>
      </w:r>
      <w:r>
        <w:rPr>
          <w:spacing w:val="-9"/>
          <w:sz w:val="30"/>
          <w:szCs w:val="30"/>
        </w:rPr>
        <w:t>.</w:t>
      </w:r>
      <w:r>
        <w:rPr>
          <w:spacing w:val="-28"/>
          <w:sz w:val="30"/>
          <w:szCs w:val="30"/>
        </w:rPr>
        <w:t xml:space="preserve">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技术标准和规范</w:t>
      </w:r>
      <w:r>
        <w:rPr>
          <w:spacing w:val="-9"/>
          <w:sz w:val="30"/>
          <w:szCs w:val="30"/>
        </w:rPr>
        <w:t>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</w:t>
      </w:r>
      <w:r>
        <w:rPr>
          <w:rFonts w:hint="eastAsia"/>
          <w:b/>
          <w:spacing w:val="-9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5</w:t>
      </w:r>
      <w:r>
        <w:rPr>
          <w:spacing w:val="-2"/>
          <w:sz w:val="30"/>
          <w:szCs w:val="30"/>
        </w:rPr>
        <w:t>.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原始设计和工艺文件</w:t>
      </w:r>
      <w:r>
        <w:rPr>
          <w:spacing w:val="-2"/>
          <w:sz w:val="30"/>
          <w:szCs w:val="30"/>
        </w:rPr>
        <w:t>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2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2"/>
          <w:position w:val="-1"/>
          <w:sz w:val="30"/>
          <w:szCs w:val="30"/>
          <w:u w:val="single" w:color="auto"/>
        </w:rPr>
        <w:t xml:space="preserve">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6</w:t>
      </w:r>
      <w:r>
        <w:rPr>
          <w:spacing w:val="4"/>
          <w:sz w:val="30"/>
          <w:szCs w:val="30"/>
        </w:rPr>
        <w:t>.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其他</w:t>
      </w:r>
      <w:r>
        <w:rPr>
          <w:spacing w:val="4"/>
          <w:sz w:val="30"/>
          <w:szCs w:val="30"/>
        </w:rPr>
        <w:t>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rFonts w:hint="eastAsia"/>
          <w:b/>
          <w:spacing w:val="4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</w:t>
      </w:r>
    </w:p>
    <w:p w14:paraId="6FD91E30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0A8D17B8">
      <w:pPr>
        <w:spacing w:line="292" w:lineRule="auto"/>
        <w:rPr>
          <w:rFonts w:ascii="Arial"/>
          <w:sz w:val="21"/>
        </w:rPr>
      </w:pPr>
    </w:p>
    <w:p w14:paraId="06C2DD59">
      <w:pPr>
        <w:spacing w:line="292" w:lineRule="auto"/>
        <w:rPr>
          <w:rFonts w:ascii="Arial"/>
          <w:sz w:val="21"/>
        </w:rPr>
      </w:pPr>
    </w:p>
    <w:p w14:paraId="68500DA4">
      <w:pPr>
        <w:spacing w:line="293" w:lineRule="auto"/>
        <w:rPr>
          <w:rFonts w:ascii="Arial"/>
          <w:sz w:val="21"/>
        </w:rPr>
      </w:pPr>
    </w:p>
    <w:p w14:paraId="400DF5C5">
      <w:pPr>
        <w:spacing w:line="293" w:lineRule="auto"/>
        <w:rPr>
          <w:rFonts w:ascii="Arial"/>
          <w:sz w:val="21"/>
        </w:rPr>
      </w:pPr>
    </w:p>
    <w:p w14:paraId="0363F9C6">
      <w:pPr>
        <w:pStyle w:val="2"/>
        <w:spacing w:before="94" w:line="387" w:lineRule="auto"/>
        <w:ind w:left="585" w:right="163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第二十七条</w:t>
      </w:r>
      <w:r>
        <w:rPr>
          <w:spacing w:val="136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双方约定本合同其他相关事项为</w:t>
      </w:r>
      <w:r>
        <w:rPr>
          <w:spacing w:val="-6"/>
          <w:sz w:val="29"/>
          <w:szCs w:val="29"/>
        </w:rPr>
        <w:t>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 xml:space="preserve">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第二十八条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具有同等法律效力</w:t>
      </w:r>
      <w:r>
        <w:rPr>
          <w:spacing w:val="-8"/>
          <w:sz w:val="29"/>
          <w:szCs w:val="29"/>
        </w:rPr>
        <w:t>。</w:t>
      </w:r>
    </w:p>
    <w:p w14:paraId="14405056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本合同经双方签字盖章后生效</w:t>
      </w:r>
      <w:r>
        <w:rPr>
          <w:spacing w:val="-12"/>
          <w:sz w:val="29"/>
          <w:szCs w:val="29"/>
        </w:rPr>
        <w:t>。</w:t>
      </w:r>
    </w:p>
    <w:p w14:paraId="65A0D483">
      <w:pPr>
        <w:spacing w:line="242" w:lineRule="auto"/>
        <w:rPr>
          <w:rFonts w:ascii="Arial"/>
          <w:sz w:val="21"/>
        </w:rPr>
      </w:pPr>
    </w:p>
    <w:p w14:paraId="5071A406">
      <w:pPr>
        <w:spacing w:line="242" w:lineRule="auto"/>
        <w:rPr>
          <w:rFonts w:ascii="Arial"/>
          <w:sz w:val="21"/>
        </w:rPr>
      </w:pPr>
    </w:p>
    <w:p w14:paraId="37CC59E4">
      <w:pPr>
        <w:spacing w:line="242" w:lineRule="auto"/>
        <w:rPr>
          <w:rFonts w:ascii="Arial"/>
          <w:sz w:val="21"/>
        </w:rPr>
      </w:pPr>
    </w:p>
    <w:p w14:paraId="782A4AE8">
      <w:pPr>
        <w:spacing w:line="242" w:lineRule="auto"/>
        <w:rPr>
          <w:rFonts w:ascii="Arial"/>
          <w:sz w:val="21"/>
        </w:rPr>
      </w:pPr>
    </w:p>
    <w:p w14:paraId="21408FF8">
      <w:pPr>
        <w:spacing w:line="242" w:lineRule="auto"/>
        <w:rPr>
          <w:rFonts w:ascii="Arial"/>
          <w:sz w:val="21"/>
        </w:rPr>
      </w:pPr>
    </w:p>
    <w:p w14:paraId="4FD78103">
      <w:pPr>
        <w:spacing w:line="243" w:lineRule="auto"/>
        <w:rPr>
          <w:rFonts w:ascii="Arial"/>
          <w:sz w:val="21"/>
        </w:rPr>
      </w:pPr>
    </w:p>
    <w:p w14:paraId="1AF9EF36">
      <w:pPr>
        <w:spacing w:line="243" w:lineRule="auto"/>
        <w:rPr>
          <w:rFonts w:ascii="Arial"/>
          <w:sz w:val="21"/>
        </w:rPr>
      </w:pPr>
    </w:p>
    <w:p w14:paraId="0A9B6693">
      <w:pPr>
        <w:spacing w:line="243" w:lineRule="auto"/>
        <w:rPr>
          <w:rFonts w:ascii="Arial"/>
          <w:sz w:val="21"/>
        </w:rPr>
      </w:pPr>
    </w:p>
    <w:p w14:paraId="6ACC39AF">
      <w:pPr>
        <w:spacing w:line="243" w:lineRule="auto"/>
        <w:rPr>
          <w:rFonts w:ascii="Arial"/>
          <w:sz w:val="21"/>
        </w:rPr>
      </w:pPr>
    </w:p>
    <w:p w14:paraId="2D3EC059">
      <w:pPr>
        <w:spacing w:line="243" w:lineRule="auto"/>
        <w:rPr>
          <w:rFonts w:ascii="Arial"/>
          <w:sz w:val="21"/>
        </w:rPr>
      </w:pPr>
    </w:p>
    <w:p w14:paraId="4631C724">
      <w:pPr>
        <w:spacing w:line="243" w:lineRule="auto"/>
        <w:rPr>
          <w:rFonts w:ascii="Arial"/>
          <w:sz w:val="21"/>
        </w:rPr>
      </w:pPr>
    </w:p>
    <w:p w14:paraId="0C9E1337">
      <w:pPr>
        <w:spacing w:line="243" w:lineRule="auto"/>
        <w:rPr>
          <w:rFonts w:ascii="Arial"/>
          <w:sz w:val="21"/>
        </w:rPr>
      </w:pPr>
    </w:p>
    <w:p w14:paraId="2CD6F096">
      <w:pPr>
        <w:spacing w:line="243" w:lineRule="auto"/>
        <w:rPr>
          <w:rFonts w:ascii="Arial"/>
          <w:sz w:val="21"/>
        </w:rPr>
      </w:pPr>
    </w:p>
    <w:p w14:paraId="0358F54C">
      <w:pPr>
        <w:spacing w:line="243" w:lineRule="auto"/>
        <w:rPr>
          <w:rFonts w:ascii="Arial"/>
          <w:sz w:val="21"/>
        </w:rPr>
      </w:pPr>
    </w:p>
    <w:p w14:paraId="1686A2A4">
      <w:pPr>
        <w:spacing w:line="243" w:lineRule="auto"/>
        <w:rPr>
          <w:rFonts w:ascii="Arial"/>
          <w:sz w:val="21"/>
        </w:rPr>
      </w:pPr>
    </w:p>
    <w:p w14:paraId="54C7BF97">
      <w:pPr>
        <w:spacing w:line="243" w:lineRule="auto"/>
        <w:rPr>
          <w:rFonts w:ascii="Arial"/>
          <w:sz w:val="21"/>
        </w:rPr>
      </w:pPr>
    </w:p>
    <w:p w14:paraId="254A6196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6"/>
          <w:position w:val="2"/>
          <w:sz w:val="29"/>
          <w:szCs w:val="29"/>
          <w:highlight w:val="yellow"/>
          <w:lang w:eastAsia="zh-CN"/>
        </w:rPr>
        <w:t>甲方</w:t>
      </w:r>
      <w:r>
        <w:rPr>
          <w:spacing w:val="6"/>
          <w:position w:val="2"/>
          <w:sz w:val="29"/>
          <w:szCs w:val="29"/>
        </w:rPr>
        <w:t>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浙江亿力机电股份有限公司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387426FC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position w:val="7"/>
          <w:sz w:val="29"/>
          <w:szCs w:val="29"/>
        </w:rPr>
        <w:t>/</w:t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position w:val="7"/>
          <w:sz w:val="29"/>
          <w:szCs w:val="29"/>
        </w:rPr>
        <w:t>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>( 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160DA14C">
      <w:pPr>
        <w:spacing w:line="261" w:lineRule="auto"/>
        <w:rPr>
          <w:rFonts w:ascii="Arial"/>
          <w:sz w:val="21"/>
        </w:rPr>
      </w:pPr>
    </w:p>
    <w:p w14:paraId="68549DFA">
      <w:pPr>
        <w:spacing w:line="261" w:lineRule="auto"/>
        <w:rPr>
          <w:rFonts w:ascii="Arial"/>
          <w:sz w:val="21"/>
        </w:rPr>
      </w:pPr>
    </w:p>
    <w:p w14:paraId="0A78B50A">
      <w:pPr>
        <w:spacing w:line="261" w:lineRule="auto"/>
        <w:rPr>
          <w:rFonts w:ascii="Arial"/>
          <w:sz w:val="21"/>
        </w:rPr>
      </w:pPr>
    </w:p>
    <w:p w14:paraId="7BF43691">
      <w:pPr>
        <w:spacing w:line="261" w:lineRule="auto"/>
        <w:rPr>
          <w:rFonts w:ascii="Arial"/>
          <w:sz w:val="21"/>
        </w:rPr>
      </w:pPr>
    </w:p>
    <w:p w14:paraId="638247DB">
      <w:pPr>
        <w:spacing w:line="261" w:lineRule="auto"/>
        <w:rPr>
          <w:rFonts w:ascii="Arial"/>
          <w:sz w:val="21"/>
        </w:rPr>
      </w:pPr>
    </w:p>
    <w:p w14:paraId="0F754343">
      <w:pPr>
        <w:spacing w:line="261" w:lineRule="auto"/>
        <w:rPr>
          <w:rFonts w:ascii="Arial"/>
          <w:sz w:val="21"/>
        </w:rPr>
      </w:pPr>
    </w:p>
    <w:p w14:paraId="4A1B4807">
      <w:pPr>
        <w:spacing w:line="261" w:lineRule="auto"/>
        <w:rPr>
          <w:rFonts w:ascii="Arial"/>
          <w:sz w:val="21"/>
        </w:rPr>
      </w:pPr>
    </w:p>
    <w:p w14:paraId="78FF3BD3">
      <w:pPr>
        <w:spacing w:line="261" w:lineRule="auto"/>
        <w:rPr>
          <w:rFonts w:ascii="Arial"/>
          <w:sz w:val="21"/>
        </w:rPr>
      </w:pPr>
    </w:p>
    <w:p w14:paraId="090C4E81">
      <w:pPr>
        <w:spacing w:line="262" w:lineRule="auto"/>
        <w:rPr>
          <w:rFonts w:ascii="Arial"/>
          <w:sz w:val="21"/>
        </w:rPr>
      </w:pPr>
    </w:p>
    <w:p w14:paraId="1A0A64BE">
      <w:pPr>
        <w:spacing w:line="262" w:lineRule="auto"/>
        <w:rPr>
          <w:rFonts w:ascii="Arial"/>
          <w:sz w:val="21"/>
        </w:rPr>
      </w:pPr>
    </w:p>
    <w:p w14:paraId="6B90F42F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乙方</w:t>
      </w:r>
      <w:r>
        <w:rPr>
          <w:spacing w:val="-37"/>
          <w:w w:val="81"/>
          <w:sz w:val="35"/>
          <w:szCs w:val="35"/>
        </w:rPr>
        <w:t>：</w:t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法定代表人</w:t>
      </w:r>
      <w:r>
        <w:rPr>
          <w:spacing w:val="-9"/>
          <w:sz w:val="29"/>
          <w:szCs w:val="29"/>
        </w:rPr>
        <w:t>/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委托代理人</w:t>
      </w:r>
      <w:r>
        <w:rPr>
          <w:spacing w:val="-9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>( 签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50C22EF6">
      <w:pPr>
        <w:pStyle w:val="2"/>
        <w:spacing w:before="55"/>
        <w:jc w:val="right"/>
        <w:rPr>
          <w:sz w:val="29"/>
          <w:szCs w:val="29"/>
        </w:rPr>
      </w:pP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项目负责人</w:t>
      </w:r>
      <w:r>
        <w:rPr>
          <w:spacing w:val="-16"/>
          <w:position w:val="-1"/>
          <w:sz w:val="29"/>
          <w:szCs w:val="29"/>
        </w:rPr>
        <w:t>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43B63D9A">
      <w:pPr>
        <w:spacing w:line="330" w:lineRule="auto"/>
        <w:rPr>
          <w:rFonts w:ascii="Arial"/>
          <w:sz w:val="21"/>
        </w:rPr>
      </w:pPr>
    </w:p>
    <w:p w14:paraId="4018BB92">
      <w:pPr>
        <w:spacing w:line="331" w:lineRule="auto"/>
        <w:rPr>
          <w:rFonts w:ascii="Arial"/>
          <w:sz w:val="21"/>
        </w:rPr>
      </w:pPr>
    </w:p>
    <w:p w14:paraId="420DC2BF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8299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6B5C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167A6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FE3C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DBAC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8F814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3F9B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0C882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21CD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90D21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15B5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92E1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834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924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2024-11-26T05:48:33Z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C7CCDC5780154F82BF971EDF88A51232_13</vt:lpwstr>
  </property>
</Properties>
</file>